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EA7F0C" w:rsidP="0091771C">
            <w:r>
              <w:rPr>
                <w:color w:val="A6A6A6" w:themeColor="background1" w:themeShade="A6"/>
                <w:sz w:val="56"/>
              </w:rPr>
              <w:t>4-1</w:t>
            </w:r>
            <w:r w:rsidR="001A66A9">
              <w:rPr>
                <w:color w:val="A6A6A6" w:themeColor="background1" w:themeShade="A6"/>
                <w:sz w:val="56"/>
              </w:rPr>
              <w:t xml:space="preserve"> </w:t>
            </w:r>
            <w:r w:rsidR="0091771C">
              <w:rPr>
                <w:sz w:val="56"/>
              </w:rPr>
              <w:t>Mains</w:t>
            </w:r>
            <w:r w:rsidR="00DF5A87">
              <w:rPr>
                <w:sz w:val="56"/>
              </w:rPr>
              <w:t xml:space="preserve"> oxygen failure</w:t>
            </w:r>
            <w:r w:rsidR="005975FC">
              <w:rPr>
                <w:sz w:val="56"/>
              </w:rPr>
              <w:t xml:space="preserve"> </w:t>
            </w:r>
            <w:r w:rsidR="00A908F4">
              <w:t>v.1</w:t>
            </w:r>
          </w:p>
        </w:tc>
      </w:tr>
      <w:tr w:rsidR="007B1D53" w:rsidTr="007B1D53">
        <w:tc>
          <w:tcPr>
            <w:tcW w:w="15614" w:type="dxa"/>
            <w:tcBorders>
              <w:top w:val="single" w:sz="4" w:space="0" w:color="auto"/>
              <w:bottom w:val="single" w:sz="4" w:space="0" w:color="auto"/>
            </w:tcBorders>
          </w:tcPr>
          <w:p w:rsidR="007B1D53" w:rsidRDefault="000050B0" w:rsidP="00286163">
            <w:r>
              <w:t>Complete failure of wall or pendant oxygen supply</w:t>
            </w:r>
            <w:r w:rsidR="00AB5C87">
              <w:t xml:space="preserve">. </w:t>
            </w:r>
            <w:r w:rsidR="00286163">
              <w:t>Failure m</w:t>
            </w:r>
            <w:r w:rsidR="00AB5C87">
              <w:t>ay be theatre-specific, zone-specific or hospital-wide.</w:t>
            </w:r>
          </w:p>
        </w:tc>
      </w:tr>
    </w:tbl>
    <w:p w:rsidR="009266E8" w:rsidRDefault="00421C0E">
      <w:r w:rsidRPr="00421C0E">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2.5pt;margin-top:15.85pt;width:430.3pt;height:4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" stroked="f">
            <v:textbox>
              <w:txbxContent>
                <w:p w:rsidR="00145E20" w:rsidRPr="00136000" w:rsidRDefault="00145E20"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145E20" w:rsidRDefault="00145E20" w:rsidP="004B3AF1">
                  <w:pPr>
                    <w:spacing w:after="120"/>
                  </w:pPr>
                  <w:r>
                    <w:rPr>
                      <w:rFonts w:cstheme="minorHAnsi"/>
                    </w:rPr>
                    <w:t xml:space="preserve">❶ </w:t>
                  </w:r>
                  <w:r>
                    <w:t xml:space="preserve">Inform </w:t>
                  </w:r>
                  <w:r w:rsidR="00D94882">
                    <w:t xml:space="preserve">the theatre team of the problem, including theatre </w:t>
                  </w:r>
                  <w:r w:rsidR="008A123B">
                    <w:t>co</w:t>
                  </w:r>
                  <w:r w:rsidR="00D94882">
                    <w:t>ordinator (Box A)</w:t>
                  </w:r>
                  <w:r w:rsidR="00AB429E">
                    <w:t>.</w:t>
                  </w:r>
                </w:p>
                <w:p w:rsidR="00145E20" w:rsidRDefault="00145E20" w:rsidP="004B3AF1">
                  <w:pPr>
                    <w:spacing w:after="120"/>
                  </w:pPr>
                  <w:r>
                    <w:rPr>
                      <w:rFonts w:cstheme="minorHAnsi"/>
                    </w:rPr>
                    <w:t xml:space="preserve">❷ </w:t>
                  </w:r>
                  <w:r>
                    <w:t>Call for he</w:t>
                  </w:r>
                  <w:r w:rsidR="002302D0">
                    <w:t>lp</w:t>
                  </w:r>
                  <w:r w:rsidR="00286163">
                    <w:t>, but be aware failure ma</w:t>
                  </w:r>
                  <w:r>
                    <w:t>y be widespread.</w:t>
                  </w:r>
                </w:p>
                <w:p w:rsidR="00145E20" w:rsidRPr="000050B0" w:rsidRDefault="00145E20" w:rsidP="004B3AF1">
                  <w:pPr>
                    <w:spacing w:after="120"/>
                    <w:rPr>
                      <w:rFonts w:cstheme="minorHAnsi"/>
                    </w:rPr>
                  </w:pPr>
                  <w:r>
                    <w:rPr>
                      <w:rFonts w:cstheme="minorHAnsi"/>
                    </w:rPr>
                    <w:t xml:space="preserve">❸ </w:t>
                  </w:r>
                  <w:r w:rsidRPr="002238AA">
                    <w:rPr>
                      <w:rFonts w:cstheme="minorHAnsi"/>
                    </w:rPr>
                    <w:t xml:space="preserve">Switch to cylinder </w:t>
                  </w:r>
                  <w:r>
                    <w:rPr>
                      <w:rFonts w:cstheme="minorHAnsi"/>
                    </w:rPr>
                    <w:t>oxygen supply</w:t>
                  </w:r>
                  <w:r w:rsidR="00AB429E">
                    <w:rPr>
                      <w:rFonts w:cstheme="minorHAnsi"/>
                    </w:rPr>
                    <w:t>.</w:t>
                  </w:r>
                </w:p>
                <w:p w:rsidR="002302D0" w:rsidRDefault="00145E20" w:rsidP="004B3AF1">
                  <w:pPr>
                    <w:spacing w:after="120"/>
                    <w:rPr>
                      <w:rFonts w:cstheme="minorHAnsi"/>
                    </w:rPr>
                  </w:pPr>
                  <w:r>
                    <w:rPr>
                      <w:rFonts w:cstheme="minorHAnsi"/>
                    </w:rPr>
                    <w:t>❹</w:t>
                  </w:r>
                  <w:r w:rsidR="00286163">
                    <w:rPr>
                      <w:rFonts w:cstheme="minorHAnsi"/>
                    </w:rPr>
                    <w:t xml:space="preserve"> </w:t>
                  </w:r>
                  <w:r w:rsidR="00D94882">
                    <w:rPr>
                      <w:rFonts w:cstheme="minorHAnsi"/>
                    </w:rPr>
                    <w:t>Check</w:t>
                  </w:r>
                  <w:r w:rsidR="004B3AF1">
                    <w:rPr>
                      <w:rFonts w:cstheme="minorHAnsi"/>
                    </w:rPr>
                    <w:t xml:space="preserve"> </w:t>
                  </w:r>
                  <w:r w:rsidR="00D94882">
                    <w:rPr>
                      <w:rFonts w:cstheme="minorHAnsi"/>
                    </w:rPr>
                    <w:t xml:space="preserve">remaining </w:t>
                  </w:r>
                  <w:r w:rsidR="004B3AF1">
                    <w:rPr>
                      <w:rFonts w:cstheme="minorHAnsi"/>
                    </w:rPr>
                    <w:t>cylinder content (</w:t>
                  </w:r>
                  <w:r w:rsidR="00D94882">
                    <w:rPr>
                      <w:rFonts w:cstheme="minorHAnsi"/>
                    </w:rPr>
                    <w:t>Box B</w:t>
                  </w:r>
                  <w:r w:rsidR="002302D0">
                    <w:rPr>
                      <w:rFonts w:cstheme="minorHAnsi"/>
                    </w:rPr>
                    <w:t>)</w:t>
                  </w:r>
                  <w:r w:rsidR="00AB429E">
                    <w:rPr>
                      <w:rFonts w:cstheme="minorHAnsi"/>
                    </w:rPr>
                    <w:t>:</w:t>
                  </w:r>
                </w:p>
                <w:p w:rsidR="00145E20" w:rsidRPr="002302D0" w:rsidRDefault="002302D0" w:rsidP="002302D0">
                  <w:pPr>
                    <w:pStyle w:val="ListParagraph"/>
                    <w:numPr>
                      <w:ilvl w:val="0"/>
                      <w:numId w:val="18"/>
                    </w:numPr>
                    <w:spacing w:after="120"/>
                    <w:rPr>
                      <w:rFonts w:cstheme="minorHAnsi"/>
                    </w:rPr>
                  </w:pPr>
                  <w:r>
                    <w:rPr>
                      <w:rFonts w:cstheme="minorHAnsi"/>
                    </w:rPr>
                    <w:t>En</w:t>
                  </w:r>
                  <w:r w:rsidRPr="002302D0">
                    <w:rPr>
                      <w:rFonts w:cstheme="minorHAnsi"/>
                    </w:rPr>
                    <w:t>sure at least one</w:t>
                  </w:r>
                  <w:r w:rsidR="004B3AF1" w:rsidRPr="002302D0">
                    <w:rPr>
                      <w:rFonts w:cstheme="minorHAnsi"/>
                    </w:rPr>
                    <w:t xml:space="preserve"> </w:t>
                  </w:r>
                  <w:r w:rsidRPr="002302D0">
                    <w:rPr>
                      <w:rFonts w:cstheme="minorHAnsi"/>
                    </w:rPr>
                    <w:t>further cylinder always available</w:t>
                  </w:r>
                  <w:r w:rsidR="00AB429E">
                    <w:rPr>
                      <w:rFonts w:cstheme="minorHAnsi"/>
                    </w:rPr>
                    <w:t>.</w:t>
                  </w:r>
                </w:p>
                <w:p w:rsidR="004B3AF1" w:rsidRPr="002238AA" w:rsidRDefault="00145E20" w:rsidP="004B3AF1">
                  <w:pPr>
                    <w:spacing w:after="120"/>
                    <w:rPr>
                      <w:rFonts w:cstheme="minorHAnsi"/>
                    </w:rPr>
                  </w:pPr>
                  <w:r>
                    <w:rPr>
                      <w:rFonts w:cstheme="minorHAnsi"/>
                    </w:rPr>
                    <w:t>❺</w:t>
                  </w:r>
                  <w:r w:rsidR="00286163" w:rsidRPr="00286163">
                    <w:rPr>
                      <w:rFonts w:cstheme="minorHAnsi"/>
                    </w:rPr>
                    <w:t xml:space="preserve"> </w:t>
                  </w:r>
                  <w:r w:rsidR="004B3AF1" w:rsidRPr="002238AA">
                    <w:rPr>
                      <w:rFonts w:cstheme="minorHAnsi"/>
                    </w:rPr>
                    <w:t>Prolong</w:t>
                  </w:r>
                  <w:r w:rsidR="004B3AF1">
                    <w:rPr>
                      <w:rFonts w:cstheme="minorHAnsi"/>
                    </w:rPr>
                    <w:t xml:space="preserve"> </w:t>
                  </w:r>
                  <w:r w:rsidR="004B3AF1" w:rsidRPr="002238AA">
                    <w:rPr>
                      <w:rFonts w:cstheme="minorHAnsi"/>
                    </w:rPr>
                    <w:t>duration of</w:t>
                  </w:r>
                  <w:r w:rsidR="004B3AF1">
                    <w:rPr>
                      <w:rFonts w:cstheme="minorHAnsi"/>
                    </w:rPr>
                    <w:t xml:space="preserve"> </w:t>
                  </w:r>
                  <w:r w:rsidR="004B3AF1" w:rsidRPr="002238AA">
                    <w:rPr>
                      <w:rFonts w:cstheme="minorHAnsi"/>
                    </w:rPr>
                    <w:t xml:space="preserve">cylinder </w:t>
                  </w:r>
                  <w:r w:rsidR="004B3AF1">
                    <w:rPr>
                      <w:rFonts w:cstheme="minorHAnsi"/>
                    </w:rPr>
                    <w:t xml:space="preserve">oxygen </w:t>
                  </w:r>
                  <w:r w:rsidR="004B3AF1" w:rsidRPr="002238AA">
                    <w:rPr>
                      <w:rFonts w:cstheme="minorHAnsi"/>
                    </w:rPr>
                    <w:t>supply</w:t>
                  </w:r>
                  <w:r w:rsidR="004B3AF1">
                    <w:rPr>
                      <w:rFonts w:cstheme="minorHAnsi"/>
                    </w:rPr>
                    <w:t>:</w:t>
                  </w:r>
                </w:p>
                <w:p w:rsidR="004B3AF1" w:rsidRPr="00450E44" w:rsidRDefault="00AB429E" w:rsidP="004B3AF1">
                  <w:pPr>
                    <w:pStyle w:val="ListParagraph"/>
                    <w:numPr>
                      <w:ilvl w:val="0"/>
                      <w:numId w:val="11"/>
                    </w:numPr>
                    <w:spacing w:after="120"/>
                    <w:rPr>
                      <w:rFonts w:cstheme="minorHAnsi"/>
                    </w:rPr>
                  </w:pPr>
                  <w:r>
                    <w:rPr>
                      <w:rFonts w:cstheme="minorHAnsi"/>
                    </w:rPr>
                    <w:t>Use circle system.</w:t>
                  </w:r>
                </w:p>
                <w:p w:rsidR="004B3AF1" w:rsidRPr="00450E44" w:rsidRDefault="002302D0" w:rsidP="004B3AF1">
                  <w:pPr>
                    <w:pStyle w:val="ListParagraph"/>
                    <w:numPr>
                      <w:ilvl w:val="0"/>
                      <w:numId w:val="11"/>
                    </w:numPr>
                    <w:spacing w:after="120"/>
                    <w:rPr>
                      <w:rFonts w:cstheme="minorHAnsi"/>
                    </w:rPr>
                  </w:pPr>
                  <w:r>
                    <w:rPr>
                      <w:rFonts w:cstheme="minorHAnsi"/>
                    </w:rPr>
                    <w:t>Use lowest possible fresh gas flow</w:t>
                  </w:r>
                  <w:r w:rsidR="00AB429E">
                    <w:rPr>
                      <w:rFonts w:cstheme="minorHAnsi"/>
                    </w:rPr>
                    <w:t>.</w:t>
                  </w:r>
                </w:p>
                <w:p w:rsidR="004B3AF1" w:rsidRPr="008A123B" w:rsidRDefault="002302D0" w:rsidP="004B3AF1">
                  <w:pPr>
                    <w:pStyle w:val="ListParagraph"/>
                    <w:numPr>
                      <w:ilvl w:val="0"/>
                      <w:numId w:val="11"/>
                    </w:numPr>
                    <w:spacing w:after="120"/>
                    <w:rPr>
                      <w:rFonts w:cstheme="minorHAnsi"/>
                    </w:rPr>
                  </w:pPr>
                  <w:r>
                    <w:rPr>
                      <w:rFonts w:cstheme="minorHAnsi"/>
                    </w:rPr>
                    <w:t xml:space="preserve">Use lowest </w:t>
                  </w:r>
                  <w:r w:rsidRPr="008A123B">
                    <w:rPr>
                      <w:rFonts w:cstheme="minorHAnsi"/>
                    </w:rPr>
                    <w:t>possible FiO</w:t>
                  </w:r>
                  <w:r w:rsidRPr="008A123B">
                    <w:rPr>
                      <w:rFonts w:cstheme="minorHAnsi"/>
                      <w:vertAlign w:val="subscript"/>
                    </w:rPr>
                    <w:t>2</w:t>
                  </w:r>
                  <w:r w:rsidR="00AB429E" w:rsidRPr="008A123B">
                    <w:rPr>
                      <w:rFonts w:cstheme="minorHAnsi"/>
                    </w:rPr>
                    <w:t>.</w:t>
                  </w:r>
                </w:p>
                <w:p w:rsidR="00145E20" w:rsidRPr="008A123B" w:rsidRDefault="002302D0" w:rsidP="004B3AF1">
                  <w:pPr>
                    <w:pStyle w:val="ListParagraph"/>
                    <w:numPr>
                      <w:ilvl w:val="0"/>
                      <w:numId w:val="11"/>
                    </w:numPr>
                    <w:spacing w:after="120"/>
                    <w:rPr>
                      <w:rFonts w:cstheme="minorHAnsi"/>
                    </w:rPr>
                  </w:pPr>
                  <w:r w:rsidRPr="008A123B">
                    <w:rPr>
                      <w:rFonts w:cstheme="minorHAnsi"/>
                    </w:rPr>
                    <w:t>Check FiO</w:t>
                  </w:r>
                  <w:r w:rsidRPr="008A123B">
                    <w:rPr>
                      <w:rFonts w:cstheme="minorHAnsi"/>
                      <w:vertAlign w:val="subscript"/>
                    </w:rPr>
                    <w:t>2</w:t>
                  </w:r>
                  <w:r w:rsidRPr="008A123B">
                    <w:rPr>
                      <w:rFonts w:cstheme="minorHAnsi"/>
                    </w:rPr>
                    <w:t xml:space="preserve"> alarms</w:t>
                  </w:r>
                  <w:r w:rsidR="00AB429E" w:rsidRPr="008A123B">
                    <w:rPr>
                      <w:rFonts w:cstheme="minorHAnsi"/>
                    </w:rPr>
                    <w:t>.</w:t>
                  </w:r>
                </w:p>
                <w:p w:rsidR="004B3AF1" w:rsidRPr="002238AA" w:rsidRDefault="00145E20" w:rsidP="004B3AF1">
                  <w:pPr>
                    <w:spacing w:after="120"/>
                    <w:rPr>
                      <w:rFonts w:cstheme="minorHAnsi"/>
                    </w:rPr>
                  </w:pPr>
                  <w:r>
                    <w:rPr>
                      <w:rFonts w:cstheme="minorHAnsi"/>
                    </w:rPr>
                    <w:t xml:space="preserve">❻ </w:t>
                  </w:r>
                  <w:r w:rsidR="004B3AF1" w:rsidRPr="002238AA">
                    <w:rPr>
                      <w:rFonts w:cstheme="minorHAnsi"/>
                    </w:rPr>
                    <w:t>Minimise auxiliary gas usage:</w:t>
                  </w:r>
                </w:p>
                <w:p w:rsidR="00145E20" w:rsidRPr="004B3AF1" w:rsidRDefault="004B3AF1" w:rsidP="004B3AF1">
                  <w:pPr>
                    <w:pStyle w:val="ListParagraph"/>
                    <w:numPr>
                      <w:ilvl w:val="0"/>
                      <w:numId w:val="13"/>
                    </w:numPr>
                    <w:spacing w:after="120"/>
                    <w:rPr>
                      <w:rFonts w:cstheme="minorHAnsi"/>
                    </w:rPr>
                  </w:pPr>
                  <w:r w:rsidRPr="00450E44">
                    <w:rPr>
                      <w:rFonts w:cstheme="minorHAnsi"/>
                    </w:rPr>
                    <w:t>Some venti</w:t>
                  </w:r>
                  <w:r w:rsidR="00B14E89">
                    <w:rPr>
                      <w:rFonts w:cstheme="minorHAnsi"/>
                    </w:rPr>
                    <w:t>lator systems are gas-driven. If so, switch</w:t>
                  </w:r>
                  <w:r w:rsidRPr="00450E44">
                    <w:rPr>
                      <w:rFonts w:cstheme="minorHAnsi"/>
                    </w:rPr>
                    <w:t xml:space="preserve">ing to manual ventilation will prolong </w:t>
                  </w:r>
                  <w:r>
                    <w:rPr>
                      <w:rFonts w:cstheme="minorHAnsi"/>
                    </w:rPr>
                    <w:t>oxygen cylinder supply</w:t>
                  </w:r>
                  <w:r w:rsidR="00AB429E">
                    <w:rPr>
                      <w:rFonts w:cstheme="minorHAnsi"/>
                    </w:rPr>
                    <w:t>.</w:t>
                  </w:r>
                </w:p>
                <w:p w:rsidR="00145E20" w:rsidRPr="000050B0" w:rsidRDefault="00145E20" w:rsidP="004B3AF1">
                  <w:pPr>
                    <w:spacing w:after="120"/>
                    <w:rPr>
                      <w:rFonts w:cstheme="minorHAnsi"/>
                    </w:rPr>
                  </w:pPr>
                  <w:r>
                    <w:rPr>
                      <w:rFonts w:cstheme="minorHAnsi"/>
                    </w:rPr>
                    <w:t xml:space="preserve">❼ </w:t>
                  </w:r>
                  <w:r w:rsidR="004B3AF1">
                    <w:rPr>
                      <w:rFonts w:cstheme="minorHAnsi"/>
                    </w:rPr>
                    <w:t>Evaluate moving to nearby area if oxygen supply there preserved</w:t>
                  </w:r>
                  <w:r w:rsidR="00AB429E">
                    <w:rPr>
                      <w:rFonts w:cstheme="minorHAnsi"/>
                    </w:rPr>
                    <w:t>.</w:t>
                  </w:r>
                </w:p>
                <w:p w:rsidR="00145E20" w:rsidRPr="002238AA" w:rsidRDefault="00145E20" w:rsidP="004B3AF1">
                  <w:pPr>
                    <w:spacing w:after="120"/>
                    <w:rPr>
                      <w:rFonts w:cstheme="minorHAnsi"/>
                    </w:rPr>
                  </w:pPr>
                  <w:r>
                    <w:rPr>
                      <w:rFonts w:cstheme="minorHAnsi"/>
                    </w:rPr>
                    <w:t xml:space="preserve">❽ </w:t>
                  </w:r>
                  <w:r w:rsidR="004B3AF1" w:rsidRPr="002238AA">
                    <w:rPr>
                      <w:rFonts w:cstheme="minorHAnsi"/>
                    </w:rPr>
                    <w:t>Continue to monitor and ensure adequacy of ins</w:t>
                  </w:r>
                  <w:r w:rsidR="00AB429E">
                    <w:rPr>
                      <w:rFonts w:cstheme="minorHAnsi"/>
                    </w:rPr>
                    <w:t>pired oxygen and volatile agent.</w:t>
                  </w:r>
                </w:p>
                <w:p w:rsidR="0037011D" w:rsidRDefault="00145E20" w:rsidP="004B3AF1">
                  <w:pPr>
                    <w:spacing w:after="120"/>
                    <w:rPr>
                      <w:rFonts w:cstheme="minorHAnsi"/>
                    </w:rPr>
                  </w:pPr>
                  <w:r>
                    <w:rPr>
                      <w:rFonts w:cstheme="minorHAnsi"/>
                      <w:b/>
                    </w:rPr>
                    <w:t xml:space="preserve">❾ </w:t>
                  </w:r>
                  <w:r w:rsidR="0037011D">
                    <w:rPr>
                      <w:rFonts w:cstheme="minorHAnsi"/>
                    </w:rPr>
                    <w:t>Workflow:</w:t>
                  </w:r>
                </w:p>
                <w:p w:rsidR="0037011D" w:rsidRPr="00450E44" w:rsidRDefault="0037011D" w:rsidP="004B3AF1">
                  <w:pPr>
                    <w:pStyle w:val="ListParagraph"/>
                    <w:numPr>
                      <w:ilvl w:val="0"/>
                      <w:numId w:val="10"/>
                    </w:numPr>
                    <w:spacing w:after="120"/>
                    <w:rPr>
                      <w:rFonts w:cstheme="minorHAnsi"/>
                    </w:rPr>
                  </w:pPr>
                  <w:r w:rsidRPr="00450E44">
                    <w:rPr>
                      <w:rFonts w:cstheme="minorHAnsi"/>
                    </w:rPr>
                    <w:t>Do not start any new case unless clinica</w:t>
                  </w:r>
                  <w:r>
                    <w:rPr>
                      <w:rFonts w:cstheme="minorHAnsi"/>
                    </w:rPr>
                    <w:t>l priority absolutely requires</w:t>
                  </w:r>
                  <w:r w:rsidRPr="00450E44">
                    <w:rPr>
                      <w:rFonts w:cstheme="minorHAnsi"/>
                    </w:rPr>
                    <w:t xml:space="preserve"> </w:t>
                  </w:r>
                  <w:r>
                    <w:rPr>
                      <w:rFonts w:cstheme="minorHAnsi"/>
                    </w:rPr>
                    <w:t>it</w:t>
                  </w:r>
                  <w:r w:rsidR="00AB429E">
                    <w:rPr>
                      <w:rFonts w:cstheme="minorHAnsi"/>
                    </w:rPr>
                    <w:t>.</w:t>
                  </w:r>
                </w:p>
                <w:p w:rsidR="00145E20" w:rsidRPr="00D94882" w:rsidRDefault="0037011D" w:rsidP="004B3AF1">
                  <w:pPr>
                    <w:pStyle w:val="ListParagraph"/>
                    <w:numPr>
                      <w:ilvl w:val="0"/>
                      <w:numId w:val="10"/>
                    </w:numPr>
                    <w:spacing w:after="120"/>
                  </w:pPr>
                  <w:r w:rsidRPr="00F334B0">
                    <w:rPr>
                      <w:rFonts w:cstheme="minorHAnsi"/>
                    </w:rPr>
                    <w:t>Expedite conclusion of current</w:t>
                  </w:r>
                  <w:r>
                    <w:rPr>
                      <w:rFonts w:cstheme="minorHAnsi"/>
                    </w:rPr>
                    <w:t xml:space="preserve"> case if clinically appropriate</w:t>
                  </w:r>
                  <w:r w:rsidR="00AB429E">
                    <w:rPr>
                      <w:rFonts w:cstheme="minorHAnsi"/>
                    </w:rPr>
                    <w:t>.</w:t>
                  </w:r>
                </w:p>
                <w:p w:rsidR="00D94882" w:rsidRPr="0037011D" w:rsidRDefault="00D94882" w:rsidP="004B3AF1">
                  <w:pPr>
                    <w:pStyle w:val="ListParagraph"/>
                    <w:numPr>
                      <w:ilvl w:val="0"/>
                      <w:numId w:val="10"/>
                    </w:numPr>
                    <w:spacing w:after="120"/>
                  </w:pPr>
                  <w:r>
                    <w:rPr>
                      <w:rFonts w:cstheme="minorHAnsi"/>
                    </w:rPr>
                    <w:t>Consider recovering the patient in theatre if recovery also affected (Box C)</w:t>
                  </w:r>
                  <w:r w:rsidR="00AB429E">
                    <w:rPr>
                      <w:rFonts w:cstheme="minorHAnsi"/>
                    </w:rPr>
                    <w:t>.</w:t>
                  </w:r>
                </w:p>
                <w:p w:rsidR="00145E20" w:rsidRDefault="00145E20" w:rsidP="004B3AF1">
                  <w:pPr>
                    <w:spacing w:after="120"/>
                  </w:pPr>
                  <w:r>
                    <w:rPr>
                      <w:rFonts w:cstheme="minorHAnsi"/>
                    </w:rPr>
                    <w:t xml:space="preserve">❿ </w:t>
                  </w:r>
                  <w:r w:rsidR="00286163">
                    <w:rPr>
                      <w:rFonts w:cstheme="minorHAnsi"/>
                    </w:rPr>
                    <w:t>Disconnect from failed outlets</w:t>
                  </w:r>
                  <w:r w:rsidR="0037011D">
                    <w:rPr>
                      <w:rFonts w:cstheme="minorHAnsi"/>
                    </w:rPr>
                    <w:t xml:space="preserve"> and do</w:t>
                  </w:r>
                  <w:r>
                    <w:rPr>
                      <w:rFonts w:cstheme="minorHAnsi"/>
                    </w:rPr>
                    <w:t xml:space="preserve"> not re-connect until safe to do so (</w:t>
                  </w:r>
                  <w:r w:rsidR="00D94882">
                    <w:rPr>
                      <w:rFonts w:cstheme="minorHAnsi"/>
                    </w:rPr>
                    <w:t>Box D</w:t>
                  </w:r>
                  <w:r w:rsidR="004B3AF1">
                    <w:rPr>
                      <w:rFonts w:cstheme="minorHAnsi"/>
                    </w:rPr>
                    <w:t>)</w:t>
                  </w:r>
                  <w:r w:rsidR="00AB429E">
                    <w:rPr>
                      <w:rFonts w:cstheme="minorHAnsi"/>
                    </w:rPr>
                    <w:t>.</w:t>
                  </w:r>
                </w:p>
              </w:txbxContent>
            </v:textbox>
          </v:shape>
        </w:pict>
      </w:r>
    </w:p>
    <w:tbl>
      <w:tblPr>
        <w:tblStyle w:val="LightList-Accent4"/>
        <w:tblpPr w:leftFromText="180" w:rightFromText="180" w:vertAnchor="text" w:horzAnchor="margin" w:tblpXSpec="right" w:tblpY="128"/>
        <w:tblW w:w="0" w:type="auto"/>
        <w:tblLook w:val="04A0"/>
      </w:tblPr>
      <w:tblGrid>
        <w:gridCol w:w="6292"/>
      </w:tblGrid>
      <w:tr w:rsidR="00450E44" w:rsidTr="00A70F5B">
        <w:trPr>
          <w:cnfStyle w:val="100000000000"/>
        </w:trPr>
        <w:tc>
          <w:tcPr>
            <w:cnfStyle w:val="001000000000"/>
            <w:tcW w:w="6292" w:type="dxa"/>
          </w:tcPr>
          <w:p w:rsidR="00450E44" w:rsidRDefault="00D94882" w:rsidP="00450E44">
            <w:r>
              <w:t xml:space="preserve">Box A: </w:t>
            </w:r>
            <w:r w:rsidR="00450E44">
              <w:t>ORGANISATIONAL</w:t>
            </w:r>
            <w:r>
              <w:t xml:space="preserve"> ISSUES</w:t>
            </w:r>
          </w:p>
        </w:tc>
      </w:tr>
      <w:tr w:rsidR="00450E44" w:rsidTr="00A70F5B">
        <w:trPr>
          <w:cnfStyle w:val="000000100000"/>
        </w:trPr>
        <w:tc>
          <w:tcPr>
            <w:cnfStyle w:val="001000000000"/>
            <w:tcW w:w="6292" w:type="dxa"/>
          </w:tcPr>
          <w:p w:rsidR="00450E44" w:rsidRPr="00B14E89" w:rsidRDefault="008A123B" w:rsidP="00450E44">
            <w:pPr>
              <w:rPr>
                <w:b w:val="0"/>
              </w:rPr>
            </w:pPr>
            <w:r>
              <w:rPr>
                <w:b w:val="0"/>
              </w:rPr>
              <w:t>Theatre co</w:t>
            </w:r>
            <w:r w:rsidR="00450E44" w:rsidRPr="00B14E89">
              <w:rPr>
                <w:b w:val="0"/>
              </w:rPr>
              <w:t>ordinator or equivalent should:</w:t>
            </w:r>
          </w:p>
          <w:p w:rsidR="00E85CAD" w:rsidRPr="00B14E89" w:rsidRDefault="00006DC1" w:rsidP="00450E44">
            <w:pPr>
              <w:pStyle w:val="ListParagraph"/>
              <w:numPr>
                <w:ilvl w:val="0"/>
                <w:numId w:val="14"/>
              </w:numPr>
              <w:rPr>
                <w:b w:val="0"/>
              </w:rPr>
            </w:pPr>
            <w:r w:rsidRPr="00B14E89">
              <w:rPr>
                <w:b w:val="0"/>
              </w:rPr>
              <w:t>Ensure no new case is started unless clinica</w:t>
            </w:r>
            <w:r w:rsidR="00F334B0" w:rsidRPr="00B14E89">
              <w:rPr>
                <w:b w:val="0"/>
              </w:rPr>
              <w:t>l priority absolutely requires</w:t>
            </w:r>
            <w:r w:rsidR="002151AC" w:rsidRPr="00B14E89">
              <w:rPr>
                <w:b w:val="0"/>
              </w:rPr>
              <w:t xml:space="preserve"> it</w:t>
            </w:r>
            <w:r w:rsidR="00AB429E">
              <w:rPr>
                <w:b w:val="0"/>
              </w:rPr>
              <w:t>.</w:t>
            </w:r>
          </w:p>
          <w:p w:rsidR="000050B0" w:rsidRPr="00B14E89" w:rsidRDefault="00006DC1" w:rsidP="00450E44">
            <w:pPr>
              <w:pStyle w:val="ListParagraph"/>
              <w:numPr>
                <w:ilvl w:val="0"/>
                <w:numId w:val="14"/>
              </w:numPr>
              <w:rPr>
                <w:b w:val="0"/>
              </w:rPr>
            </w:pPr>
            <w:r w:rsidRPr="00B14E89">
              <w:rPr>
                <w:b w:val="0"/>
              </w:rPr>
              <w:t>Ascertain the extent of th</w:t>
            </w:r>
            <w:r w:rsidR="000050B0" w:rsidRPr="00B14E89">
              <w:rPr>
                <w:b w:val="0"/>
              </w:rPr>
              <w:t>e failure through</w:t>
            </w:r>
            <w:r w:rsidR="00854D0E" w:rsidRPr="00B14E89">
              <w:rPr>
                <w:b w:val="0"/>
              </w:rPr>
              <w:t>out</w:t>
            </w:r>
            <w:r w:rsidR="000050B0" w:rsidRPr="00B14E89">
              <w:rPr>
                <w:b w:val="0"/>
              </w:rPr>
              <w:t xml:space="preserve"> the hospital</w:t>
            </w:r>
            <w:r w:rsidR="00AB429E">
              <w:rPr>
                <w:b w:val="0"/>
              </w:rPr>
              <w:t>.</w:t>
            </w:r>
          </w:p>
          <w:p w:rsidR="000050B0" w:rsidRPr="00B14E89" w:rsidRDefault="000050B0" w:rsidP="00450E44">
            <w:pPr>
              <w:pStyle w:val="ListParagraph"/>
              <w:numPr>
                <w:ilvl w:val="0"/>
                <w:numId w:val="14"/>
              </w:numPr>
              <w:rPr>
                <w:b w:val="0"/>
              </w:rPr>
            </w:pPr>
            <w:r w:rsidRPr="00B14E89">
              <w:rPr>
                <w:b w:val="0"/>
              </w:rPr>
              <w:t xml:space="preserve">Ascertain </w:t>
            </w:r>
            <w:r w:rsidR="00006DC1" w:rsidRPr="00B14E89">
              <w:rPr>
                <w:b w:val="0"/>
              </w:rPr>
              <w:t xml:space="preserve">the </w:t>
            </w:r>
            <w:r w:rsidRPr="00B14E89">
              <w:rPr>
                <w:b w:val="0"/>
              </w:rPr>
              <w:t>reserve supplies of oxygen</w:t>
            </w:r>
            <w:r w:rsidR="00AB429E">
              <w:rPr>
                <w:b w:val="0"/>
              </w:rPr>
              <w:t>.</w:t>
            </w:r>
          </w:p>
          <w:p w:rsidR="00E85CAD" w:rsidRPr="00B14E89" w:rsidRDefault="000050B0" w:rsidP="00450E44">
            <w:pPr>
              <w:pStyle w:val="ListParagraph"/>
              <w:numPr>
                <w:ilvl w:val="0"/>
                <w:numId w:val="14"/>
              </w:numPr>
              <w:rPr>
                <w:b w:val="0"/>
              </w:rPr>
            </w:pPr>
            <w:r w:rsidRPr="00B14E89">
              <w:rPr>
                <w:b w:val="0"/>
              </w:rPr>
              <w:t xml:space="preserve">Evaluate </w:t>
            </w:r>
            <w:r w:rsidR="00006DC1" w:rsidRPr="00B14E89">
              <w:rPr>
                <w:b w:val="0"/>
              </w:rPr>
              <w:t xml:space="preserve">implications for </w:t>
            </w:r>
            <w:r w:rsidR="008A123B">
              <w:rPr>
                <w:b w:val="0"/>
              </w:rPr>
              <w:t>on</w:t>
            </w:r>
            <w:r w:rsidRPr="00B14E89">
              <w:rPr>
                <w:b w:val="0"/>
              </w:rPr>
              <w:t>going</w:t>
            </w:r>
            <w:r w:rsidR="00006DC1" w:rsidRPr="00B14E89">
              <w:rPr>
                <w:b w:val="0"/>
              </w:rPr>
              <w:t xml:space="preserve"> supply</w:t>
            </w:r>
            <w:r w:rsidR="00AB429E">
              <w:rPr>
                <w:b w:val="0"/>
              </w:rPr>
              <w:t>.</w:t>
            </w:r>
          </w:p>
          <w:p w:rsidR="00E85CAD" w:rsidRPr="00B14E89" w:rsidRDefault="00006DC1" w:rsidP="00450E44">
            <w:pPr>
              <w:pStyle w:val="ListParagraph"/>
              <w:numPr>
                <w:ilvl w:val="0"/>
                <w:numId w:val="14"/>
              </w:numPr>
              <w:rPr>
                <w:b w:val="0"/>
              </w:rPr>
            </w:pPr>
            <w:r w:rsidRPr="00B14E89">
              <w:rPr>
                <w:b w:val="0"/>
              </w:rPr>
              <w:t>Ensure any other relevant emergency plans are initiated</w:t>
            </w:r>
            <w:r w:rsidR="00AB429E">
              <w:rPr>
                <w:b w:val="0"/>
              </w:rPr>
              <w:t>.</w:t>
            </w:r>
          </w:p>
          <w:p w:rsidR="00450E44" w:rsidRPr="00B14E89" w:rsidRDefault="008A123B" w:rsidP="00450E44">
            <w:pPr>
              <w:pStyle w:val="ListParagraph"/>
              <w:numPr>
                <w:ilvl w:val="0"/>
                <w:numId w:val="14"/>
              </w:numPr>
              <w:rPr>
                <w:b w:val="0"/>
              </w:rPr>
            </w:pPr>
            <w:r>
              <w:rPr>
                <w:b w:val="0"/>
              </w:rPr>
              <w:t>Co</w:t>
            </w:r>
            <w:r w:rsidR="00006DC1" w:rsidRPr="00B14E89">
              <w:rPr>
                <w:b w:val="0"/>
              </w:rPr>
              <w:t>ordinate delivery of further oxygen cylinders in good time</w:t>
            </w:r>
            <w:r w:rsidR="00AB429E">
              <w:rPr>
                <w:b w:val="0"/>
              </w:rPr>
              <w:t>.</w:t>
            </w:r>
          </w:p>
          <w:p w:rsidR="00F334B0" w:rsidRPr="000050B0" w:rsidRDefault="00F334B0" w:rsidP="00450E44">
            <w:pPr>
              <w:pStyle w:val="ListParagraph"/>
              <w:numPr>
                <w:ilvl w:val="0"/>
                <w:numId w:val="14"/>
              </w:numPr>
              <w:rPr>
                <w:b w:val="0"/>
              </w:rPr>
            </w:pPr>
            <w:r w:rsidRPr="00B14E89">
              <w:rPr>
                <w:b w:val="0"/>
              </w:rPr>
              <w:t>Ensure individual theatres are kept informed</w:t>
            </w:r>
            <w:r w:rsidR="00AB429E">
              <w:rPr>
                <w:b w:val="0"/>
              </w:rPr>
              <w:t>.</w:t>
            </w:r>
          </w:p>
        </w:tc>
      </w:tr>
    </w:tbl>
    <w:p w:rsidR="00042F42" w:rsidRDefault="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289"/>
        <w:tblW w:w="0" w:type="auto"/>
        <w:tblLayout w:type="fixed"/>
        <w:tblLook w:val="04A0"/>
      </w:tblPr>
      <w:tblGrid>
        <w:gridCol w:w="1384"/>
        <w:gridCol w:w="709"/>
        <w:gridCol w:w="709"/>
        <w:gridCol w:w="791"/>
        <w:gridCol w:w="899"/>
        <w:gridCol w:w="899"/>
        <w:gridCol w:w="899"/>
      </w:tblGrid>
      <w:tr w:rsidR="001D6159" w:rsidTr="00B14E89">
        <w:trPr>
          <w:cnfStyle w:val="100000000000"/>
        </w:trPr>
        <w:tc>
          <w:tcPr>
            <w:cnfStyle w:val="001000000000"/>
            <w:tcW w:w="6290" w:type="dxa"/>
            <w:gridSpan w:val="7"/>
            <w:tcBorders>
              <w:bottom w:val="single" w:sz="4" w:space="0" w:color="auto"/>
            </w:tcBorders>
          </w:tcPr>
          <w:p w:rsidR="001D6159" w:rsidRDefault="00D94882" w:rsidP="00085E58">
            <w:r>
              <w:t xml:space="preserve">Box B: </w:t>
            </w:r>
            <w:r w:rsidR="001D6159">
              <w:t>OXYGEN CYLINDER</w:t>
            </w:r>
            <w:r w:rsidR="00085E58">
              <w:t>: REMAINING</w:t>
            </w:r>
            <w:r w:rsidR="001D6159">
              <w:t xml:space="preserve"> CONTENT</w:t>
            </w:r>
            <w:r w:rsidR="00085E58">
              <w:t>S</w:t>
            </w:r>
            <w:r w:rsidR="001D6159">
              <w:t xml:space="preserve"> </w:t>
            </w:r>
          </w:p>
        </w:tc>
      </w:tr>
      <w:tr w:rsidR="00B14E89" w:rsidRPr="001D6159" w:rsidTr="00B14E89">
        <w:trPr>
          <w:cnfStyle w:val="000000100000"/>
          <w:trHeight w:val="76"/>
        </w:trPr>
        <w:tc>
          <w:tcPr>
            <w:cnfStyle w:val="001000000000"/>
            <w:tcW w:w="1384" w:type="dxa"/>
            <w:vMerge w:val="restart"/>
            <w:tcBorders>
              <w:top w:val="single" w:sz="4" w:space="0" w:color="auto"/>
              <w:left w:val="single" w:sz="4" w:space="0" w:color="auto"/>
              <w:right w:val="single" w:sz="4" w:space="0" w:color="auto"/>
            </w:tcBorders>
          </w:tcPr>
          <w:p w:rsidR="00B14E89" w:rsidRPr="00B14E89" w:rsidRDefault="00B14E89" w:rsidP="00B14E89">
            <w:pPr>
              <w:jc w:val="center"/>
              <w:rPr>
                <w:sz w:val="18"/>
                <w:szCs w:val="18"/>
              </w:rPr>
            </w:pPr>
            <w:r w:rsidRPr="00B14E89">
              <w:rPr>
                <w:bCs w:val="0"/>
                <w:sz w:val="18"/>
                <w:szCs w:val="18"/>
              </w:rPr>
              <w:t>% full</w:t>
            </w:r>
          </w:p>
          <w:p w:rsidR="00B14E89" w:rsidRPr="00B14E89" w:rsidRDefault="00B14E89" w:rsidP="00B14E89">
            <w:pPr>
              <w:jc w:val="center"/>
              <w:rPr>
                <w:bCs w:val="0"/>
                <w:sz w:val="18"/>
                <w:szCs w:val="18"/>
              </w:rPr>
            </w:pPr>
            <w:r w:rsidRPr="00B14E89">
              <w:rPr>
                <w:bCs w:val="0"/>
                <w:sz w:val="18"/>
                <w:szCs w:val="18"/>
              </w:rPr>
              <w:t>(pressure)</w:t>
            </w:r>
          </w:p>
        </w:tc>
        <w:tc>
          <w:tcPr>
            <w:tcW w:w="4906" w:type="dxa"/>
            <w:gridSpan w:val="6"/>
            <w:tcBorders>
              <w:top w:val="single" w:sz="4" w:space="0" w:color="auto"/>
              <w:left w:val="single" w:sz="4" w:space="0" w:color="auto"/>
              <w:bottom w:val="single" w:sz="4" w:space="0" w:color="auto"/>
              <w:right w:val="single" w:sz="4" w:space="0" w:color="auto"/>
            </w:tcBorders>
          </w:tcPr>
          <w:p w:rsidR="00B14E89" w:rsidRPr="00B14E89" w:rsidRDefault="00B14E89" w:rsidP="00B14E89">
            <w:pPr>
              <w:jc w:val="center"/>
              <w:cnfStyle w:val="000000100000"/>
              <w:rPr>
                <w:b/>
                <w:bCs/>
                <w:sz w:val="18"/>
                <w:szCs w:val="18"/>
              </w:rPr>
            </w:pPr>
            <w:r w:rsidRPr="00B14E89">
              <w:rPr>
                <w:b/>
                <w:bCs/>
                <w:sz w:val="18"/>
                <w:szCs w:val="18"/>
              </w:rPr>
              <w:t>CYLINDER SIZE</w:t>
            </w:r>
          </w:p>
        </w:tc>
      </w:tr>
      <w:tr w:rsidR="00B14E89" w:rsidRPr="001D6159" w:rsidTr="00B14E89">
        <w:trPr>
          <w:trHeight w:val="75"/>
        </w:trPr>
        <w:tc>
          <w:tcPr>
            <w:cnfStyle w:val="001000000000"/>
            <w:tcW w:w="1384" w:type="dxa"/>
            <w:vMerge/>
            <w:tcBorders>
              <w:left w:val="single" w:sz="4" w:space="0" w:color="auto"/>
              <w:bottom w:val="single" w:sz="8" w:space="0" w:color="000000" w:themeColor="text1"/>
              <w:right w:val="single" w:sz="4" w:space="0" w:color="auto"/>
            </w:tcBorders>
          </w:tcPr>
          <w:p w:rsidR="00B14E89" w:rsidRPr="00B14E89" w:rsidRDefault="00B14E89" w:rsidP="00B14E89">
            <w:pPr>
              <w:jc w:val="center"/>
              <w:rPr>
                <w:sz w:val="18"/>
                <w:szCs w:val="18"/>
              </w:rPr>
            </w:pPr>
          </w:p>
        </w:tc>
        <w:tc>
          <w:tcPr>
            <w:tcW w:w="709" w:type="dxa"/>
            <w:tcBorders>
              <w:top w:val="single" w:sz="4" w:space="0" w:color="auto"/>
              <w:left w:val="single" w:sz="4" w:space="0" w:color="auto"/>
              <w:bottom w:val="single" w:sz="8" w:space="0" w:color="000000" w:themeColor="text1"/>
              <w:right w:val="single" w:sz="8" w:space="0" w:color="000000" w:themeColor="text1"/>
            </w:tcBorders>
          </w:tcPr>
          <w:p w:rsidR="00B14E89" w:rsidRPr="00B14E89" w:rsidRDefault="00B14E89" w:rsidP="00B14E89">
            <w:pPr>
              <w:jc w:val="center"/>
              <w:cnfStyle w:val="000000000000"/>
              <w:rPr>
                <w:b/>
                <w:sz w:val="18"/>
                <w:szCs w:val="18"/>
              </w:rPr>
            </w:pPr>
            <w:r w:rsidRPr="00B14E89">
              <w:rPr>
                <w:b/>
                <w:sz w:val="18"/>
                <w:szCs w:val="18"/>
              </w:rPr>
              <w:t>C</w:t>
            </w:r>
          </w:p>
        </w:tc>
        <w:tc>
          <w:tcPr>
            <w:tcW w:w="709" w:type="dxa"/>
            <w:tcBorders>
              <w:top w:val="single" w:sz="4" w:space="0" w:color="auto"/>
              <w:left w:val="single" w:sz="8" w:space="0" w:color="000000" w:themeColor="text1"/>
              <w:bottom w:val="single" w:sz="8" w:space="0" w:color="000000" w:themeColor="text1"/>
              <w:right w:val="single" w:sz="8" w:space="0" w:color="000000" w:themeColor="text1"/>
            </w:tcBorders>
          </w:tcPr>
          <w:p w:rsidR="00B14E89" w:rsidRPr="00B14E89" w:rsidRDefault="00B14E89" w:rsidP="00B14E89">
            <w:pPr>
              <w:jc w:val="center"/>
              <w:cnfStyle w:val="000000000000"/>
              <w:rPr>
                <w:b/>
                <w:sz w:val="18"/>
                <w:szCs w:val="18"/>
              </w:rPr>
            </w:pPr>
            <w:r w:rsidRPr="00B14E89">
              <w:rPr>
                <w:b/>
                <w:sz w:val="18"/>
                <w:szCs w:val="18"/>
              </w:rPr>
              <w:t>D</w:t>
            </w:r>
          </w:p>
        </w:tc>
        <w:tc>
          <w:tcPr>
            <w:tcW w:w="791" w:type="dxa"/>
            <w:tcBorders>
              <w:top w:val="single" w:sz="4" w:space="0" w:color="auto"/>
              <w:left w:val="single" w:sz="8" w:space="0" w:color="000000" w:themeColor="text1"/>
              <w:bottom w:val="single" w:sz="8" w:space="0" w:color="000000" w:themeColor="text1"/>
              <w:right w:val="single" w:sz="8" w:space="0" w:color="000000" w:themeColor="text1"/>
            </w:tcBorders>
          </w:tcPr>
          <w:p w:rsidR="00B14E89" w:rsidRPr="00B14E89" w:rsidRDefault="00B14E89" w:rsidP="00B14E89">
            <w:pPr>
              <w:jc w:val="center"/>
              <w:cnfStyle w:val="000000000000"/>
              <w:rPr>
                <w:b/>
                <w:sz w:val="18"/>
                <w:szCs w:val="18"/>
              </w:rPr>
            </w:pPr>
            <w:r w:rsidRPr="00B14E89">
              <w:rPr>
                <w:b/>
                <w:sz w:val="18"/>
                <w:szCs w:val="18"/>
              </w:rPr>
              <w:t>E</w:t>
            </w:r>
          </w:p>
        </w:tc>
        <w:tc>
          <w:tcPr>
            <w:tcW w:w="899" w:type="dxa"/>
            <w:tcBorders>
              <w:top w:val="single" w:sz="4" w:space="0" w:color="auto"/>
              <w:left w:val="single" w:sz="8" w:space="0" w:color="000000" w:themeColor="text1"/>
              <w:bottom w:val="single" w:sz="8" w:space="0" w:color="000000" w:themeColor="text1"/>
              <w:right w:val="single" w:sz="8" w:space="0" w:color="000000" w:themeColor="text1"/>
            </w:tcBorders>
          </w:tcPr>
          <w:p w:rsidR="00B14E89" w:rsidRPr="00B14E89" w:rsidRDefault="00B14E89" w:rsidP="00B14E89">
            <w:pPr>
              <w:jc w:val="center"/>
              <w:cnfStyle w:val="000000000000"/>
              <w:rPr>
                <w:b/>
                <w:sz w:val="18"/>
                <w:szCs w:val="18"/>
              </w:rPr>
            </w:pPr>
            <w:r w:rsidRPr="00B14E89">
              <w:rPr>
                <w:b/>
                <w:sz w:val="18"/>
                <w:szCs w:val="18"/>
              </w:rPr>
              <w:t>F</w:t>
            </w:r>
          </w:p>
        </w:tc>
        <w:tc>
          <w:tcPr>
            <w:tcW w:w="899" w:type="dxa"/>
            <w:tcBorders>
              <w:top w:val="single" w:sz="4" w:space="0" w:color="auto"/>
              <w:left w:val="single" w:sz="8" w:space="0" w:color="000000" w:themeColor="text1"/>
              <w:bottom w:val="single" w:sz="8" w:space="0" w:color="000000" w:themeColor="text1"/>
              <w:right w:val="single" w:sz="8" w:space="0" w:color="000000" w:themeColor="text1"/>
            </w:tcBorders>
          </w:tcPr>
          <w:p w:rsidR="00B14E89" w:rsidRPr="00B14E89" w:rsidRDefault="00B14E89" w:rsidP="00B14E89">
            <w:pPr>
              <w:jc w:val="center"/>
              <w:cnfStyle w:val="000000000000"/>
              <w:rPr>
                <w:b/>
                <w:sz w:val="18"/>
                <w:szCs w:val="18"/>
              </w:rPr>
            </w:pPr>
            <w:r w:rsidRPr="00B14E89">
              <w:rPr>
                <w:b/>
                <w:sz w:val="18"/>
                <w:szCs w:val="18"/>
              </w:rPr>
              <w:t>G</w:t>
            </w:r>
          </w:p>
        </w:tc>
        <w:tc>
          <w:tcPr>
            <w:tcW w:w="899" w:type="dxa"/>
            <w:tcBorders>
              <w:top w:val="single" w:sz="4" w:space="0" w:color="auto"/>
              <w:left w:val="single" w:sz="8" w:space="0" w:color="000000" w:themeColor="text1"/>
              <w:bottom w:val="single" w:sz="8" w:space="0" w:color="000000" w:themeColor="text1"/>
              <w:right w:val="single" w:sz="8" w:space="0" w:color="000000" w:themeColor="text1"/>
            </w:tcBorders>
          </w:tcPr>
          <w:p w:rsidR="00B14E89" w:rsidRPr="00B14E89" w:rsidRDefault="00B14E89" w:rsidP="00B14E89">
            <w:pPr>
              <w:jc w:val="center"/>
              <w:cnfStyle w:val="000000000000"/>
              <w:rPr>
                <w:b/>
                <w:bCs/>
                <w:sz w:val="18"/>
                <w:szCs w:val="18"/>
              </w:rPr>
            </w:pPr>
            <w:r w:rsidRPr="00B14E89">
              <w:rPr>
                <w:b/>
                <w:bCs/>
                <w:sz w:val="18"/>
                <w:szCs w:val="18"/>
              </w:rPr>
              <w:t>J</w:t>
            </w:r>
          </w:p>
        </w:tc>
      </w:tr>
      <w:tr w:rsidR="001D6159" w:rsidRPr="001D6159" w:rsidTr="00B14E89">
        <w:trPr>
          <w:cnfStyle w:val="000000100000"/>
          <w:trHeight w:val="75"/>
        </w:trPr>
        <w:tc>
          <w:tcPr>
            <w:cnfStyle w:val="001000000000"/>
            <w:tcW w:w="1384" w:type="dxa"/>
            <w:tcBorders>
              <w:top w:val="single" w:sz="4" w:space="0" w:color="auto"/>
              <w:right w:val="single" w:sz="8" w:space="0" w:color="000000" w:themeColor="text1"/>
            </w:tcBorders>
          </w:tcPr>
          <w:p w:rsidR="001D6159" w:rsidRPr="00B14E89" w:rsidRDefault="001D6159" w:rsidP="00B14E89">
            <w:pPr>
              <w:jc w:val="center"/>
              <w:rPr>
                <w:sz w:val="18"/>
                <w:szCs w:val="18"/>
              </w:rPr>
            </w:pPr>
            <w:r w:rsidRPr="00B14E89">
              <w:rPr>
                <w:sz w:val="18"/>
                <w:szCs w:val="18"/>
              </w:rPr>
              <w:t>100% (137 bar)</w:t>
            </w:r>
          </w:p>
        </w:tc>
        <w:tc>
          <w:tcPr>
            <w:tcW w:w="709" w:type="dxa"/>
            <w:tcBorders>
              <w:top w:val="single" w:sz="4" w:space="0" w:color="auto"/>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170 L</w:t>
            </w:r>
          </w:p>
        </w:tc>
        <w:tc>
          <w:tcPr>
            <w:tcW w:w="709" w:type="dxa"/>
            <w:tcBorders>
              <w:top w:val="single" w:sz="4" w:space="0" w:color="auto"/>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340 L</w:t>
            </w:r>
          </w:p>
        </w:tc>
        <w:tc>
          <w:tcPr>
            <w:tcW w:w="791" w:type="dxa"/>
            <w:tcBorders>
              <w:top w:val="single" w:sz="4" w:space="0" w:color="auto"/>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680 L</w:t>
            </w:r>
          </w:p>
        </w:tc>
        <w:tc>
          <w:tcPr>
            <w:tcW w:w="899" w:type="dxa"/>
            <w:tcBorders>
              <w:top w:val="single" w:sz="4" w:space="0" w:color="auto"/>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1360 L</w:t>
            </w:r>
          </w:p>
        </w:tc>
        <w:tc>
          <w:tcPr>
            <w:tcW w:w="899" w:type="dxa"/>
            <w:tcBorders>
              <w:top w:val="single" w:sz="4" w:space="0" w:color="auto"/>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3400 L</w:t>
            </w:r>
          </w:p>
        </w:tc>
        <w:tc>
          <w:tcPr>
            <w:tcW w:w="899" w:type="dxa"/>
            <w:tcBorders>
              <w:top w:val="single" w:sz="4" w:space="0" w:color="auto"/>
              <w:left w:val="single" w:sz="8" w:space="0" w:color="000000" w:themeColor="text1"/>
            </w:tcBorders>
          </w:tcPr>
          <w:p w:rsidR="001D6159" w:rsidRPr="00B14E89" w:rsidRDefault="00325823" w:rsidP="00B14E89">
            <w:pPr>
              <w:jc w:val="center"/>
              <w:cnfStyle w:val="000000100000"/>
              <w:rPr>
                <w:bCs/>
                <w:sz w:val="18"/>
                <w:szCs w:val="18"/>
              </w:rPr>
            </w:pPr>
            <w:r w:rsidRPr="00B14E89">
              <w:rPr>
                <w:bCs/>
                <w:sz w:val="18"/>
                <w:szCs w:val="18"/>
              </w:rPr>
              <w:t>6800 L</w:t>
            </w:r>
          </w:p>
        </w:tc>
      </w:tr>
      <w:tr w:rsidR="001D6159" w:rsidRPr="001D6159" w:rsidTr="00B14E89">
        <w:trPr>
          <w:trHeight w:val="75"/>
        </w:trPr>
        <w:tc>
          <w:tcPr>
            <w:cnfStyle w:val="001000000000"/>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D6159" w:rsidRPr="00B14E89" w:rsidRDefault="001D6159" w:rsidP="00B14E89">
            <w:pPr>
              <w:jc w:val="center"/>
              <w:rPr>
                <w:sz w:val="18"/>
                <w:szCs w:val="18"/>
              </w:rPr>
            </w:pPr>
            <w:r w:rsidRPr="00B14E89">
              <w:rPr>
                <w:sz w:val="18"/>
                <w:szCs w:val="18"/>
              </w:rPr>
              <w:t>50% (69 bar)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D6159" w:rsidRPr="001D6159" w:rsidRDefault="00325823" w:rsidP="00B14E89">
            <w:pPr>
              <w:jc w:val="center"/>
              <w:cnfStyle w:val="000000000000"/>
              <w:rPr>
                <w:sz w:val="18"/>
                <w:szCs w:val="18"/>
              </w:rPr>
            </w:pPr>
            <w:r>
              <w:rPr>
                <w:sz w:val="18"/>
                <w:szCs w:val="18"/>
              </w:rPr>
              <w:t>85 L</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D6159" w:rsidRPr="001D6159" w:rsidRDefault="00325823" w:rsidP="00B14E89">
            <w:pPr>
              <w:jc w:val="center"/>
              <w:cnfStyle w:val="000000000000"/>
              <w:rPr>
                <w:sz w:val="18"/>
                <w:szCs w:val="18"/>
              </w:rPr>
            </w:pPr>
            <w:r>
              <w:rPr>
                <w:sz w:val="18"/>
                <w:szCs w:val="18"/>
              </w:rPr>
              <w:t>170 L</w:t>
            </w:r>
          </w:p>
        </w:tc>
        <w:tc>
          <w:tcPr>
            <w:tcW w:w="7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D6159" w:rsidRPr="001D6159" w:rsidRDefault="00325823" w:rsidP="00B14E89">
            <w:pPr>
              <w:jc w:val="center"/>
              <w:cnfStyle w:val="000000000000"/>
              <w:rPr>
                <w:sz w:val="18"/>
                <w:szCs w:val="18"/>
              </w:rPr>
            </w:pPr>
            <w:r>
              <w:rPr>
                <w:sz w:val="18"/>
                <w:szCs w:val="18"/>
              </w:rPr>
              <w:t>340 L</w:t>
            </w:r>
          </w:p>
        </w:tc>
        <w:tc>
          <w:tcPr>
            <w:tcW w:w="8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D6159" w:rsidRPr="001D6159" w:rsidRDefault="00325823" w:rsidP="00B14E89">
            <w:pPr>
              <w:jc w:val="center"/>
              <w:cnfStyle w:val="000000000000"/>
              <w:rPr>
                <w:sz w:val="18"/>
                <w:szCs w:val="18"/>
              </w:rPr>
            </w:pPr>
            <w:r>
              <w:rPr>
                <w:sz w:val="18"/>
                <w:szCs w:val="18"/>
              </w:rPr>
              <w:t>680 L</w:t>
            </w:r>
          </w:p>
        </w:tc>
        <w:tc>
          <w:tcPr>
            <w:tcW w:w="8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D6159" w:rsidRPr="001D6159" w:rsidRDefault="00325823" w:rsidP="00B14E89">
            <w:pPr>
              <w:jc w:val="center"/>
              <w:cnfStyle w:val="000000000000"/>
              <w:rPr>
                <w:sz w:val="18"/>
                <w:szCs w:val="18"/>
              </w:rPr>
            </w:pPr>
            <w:r>
              <w:rPr>
                <w:sz w:val="18"/>
                <w:szCs w:val="18"/>
              </w:rPr>
              <w:t>1700L</w:t>
            </w:r>
          </w:p>
        </w:tc>
        <w:tc>
          <w:tcPr>
            <w:tcW w:w="8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1D6159" w:rsidRPr="00B14E89" w:rsidRDefault="00325823" w:rsidP="00B14E89">
            <w:pPr>
              <w:jc w:val="center"/>
              <w:cnfStyle w:val="000000000000"/>
              <w:rPr>
                <w:bCs/>
                <w:sz w:val="18"/>
                <w:szCs w:val="18"/>
              </w:rPr>
            </w:pPr>
            <w:r w:rsidRPr="00B14E89">
              <w:rPr>
                <w:bCs/>
                <w:sz w:val="18"/>
                <w:szCs w:val="18"/>
              </w:rPr>
              <w:t>3400 L</w:t>
            </w:r>
          </w:p>
        </w:tc>
      </w:tr>
      <w:tr w:rsidR="001D6159" w:rsidRPr="001D6159" w:rsidTr="00B14E89">
        <w:trPr>
          <w:cnfStyle w:val="000000100000"/>
          <w:trHeight w:val="75"/>
        </w:trPr>
        <w:tc>
          <w:tcPr>
            <w:cnfStyle w:val="001000000000"/>
            <w:tcW w:w="1384" w:type="dxa"/>
            <w:tcBorders>
              <w:right w:val="single" w:sz="8" w:space="0" w:color="000000" w:themeColor="text1"/>
            </w:tcBorders>
          </w:tcPr>
          <w:p w:rsidR="001D6159" w:rsidRPr="00B14E89" w:rsidRDefault="001D6159" w:rsidP="00B14E89">
            <w:pPr>
              <w:jc w:val="center"/>
              <w:rPr>
                <w:sz w:val="18"/>
                <w:szCs w:val="18"/>
              </w:rPr>
            </w:pPr>
            <w:r w:rsidRPr="00B14E89">
              <w:rPr>
                <w:sz w:val="18"/>
                <w:szCs w:val="18"/>
              </w:rPr>
              <w:t>25% (34 bar)</w:t>
            </w:r>
          </w:p>
        </w:tc>
        <w:tc>
          <w:tcPr>
            <w:tcW w:w="709" w:type="dxa"/>
            <w:tcBorders>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43 L</w:t>
            </w:r>
          </w:p>
        </w:tc>
        <w:tc>
          <w:tcPr>
            <w:tcW w:w="709" w:type="dxa"/>
            <w:tcBorders>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85 L</w:t>
            </w:r>
          </w:p>
        </w:tc>
        <w:tc>
          <w:tcPr>
            <w:tcW w:w="791" w:type="dxa"/>
            <w:tcBorders>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170 L</w:t>
            </w:r>
          </w:p>
        </w:tc>
        <w:tc>
          <w:tcPr>
            <w:tcW w:w="899" w:type="dxa"/>
            <w:tcBorders>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340 L</w:t>
            </w:r>
          </w:p>
        </w:tc>
        <w:tc>
          <w:tcPr>
            <w:tcW w:w="899" w:type="dxa"/>
            <w:tcBorders>
              <w:left w:val="single" w:sz="8" w:space="0" w:color="000000" w:themeColor="text1"/>
              <w:right w:val="single" w:sz="8" w:space="0" w:color="000000" w:themeColor="text1"/>
            </w:tcBorders>
          </w:tcPr>
          <w:p w:rsidR="001D6159" w:rsidRPr="001D6159" w:rsidRDefault="00325823" w:rsidP="00B14E89">
            <w:pPr>
              <w:jc w:val="center"/>
              <w:cnfStyle w:val="000000100000"/>
              <w:rPr>
                <w:sz w:val="18"/>
                <w:szCs w:val="18"/>
              </w:rPr>
            </w:pPr>
            <w:r>
              <w:rPr>
                <w:sz w:val="18"/>
                <w:szCs w:val="18"/>
              </w:rPr>
              <w:t>850 L</w:t>
            </w:r>
          </w:p>
        </w:tc>
        <w:tc>
          <w:tcPr>
            <w:tcW w:w="899" w:type="dxa"/>
            <w:tcBorders>
              <w:left w:val="single" w:sz="8" w:space="0" w:color="000000" w:themeColor="text1"/>
            </w:tcBorders>
          </w:tcPr>
          <w:p w:rsidR="001D6159" w:rsidRPr="00B14E89" w:rsidRDefault="00325823" w:rsidP="00B14E89">
            <w:pPr>
              <w:jc w:val="center"/>
              <w:cnfStyle w:val="000000100000"/>
              <w:rPr>
                <w:bCs/>
                <w:sz w:val="18"/>
                <w:szCs w:val="18"/>
              </w:rPr>
            </w:pPr>
            <w:r w:rsidRPr="00B14E89">
              <w:rPr>
                <w:bCs/>
                <w:sz w:val="18"/>
                <w:szCs w:val="18"/>
              </w:rPr>
              <w:t>1700L</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139"/>
        <w:tblW w:w="0" w:type="auto"/>
        <w:tblLook w:val="04A0"/>
      </w:tblPr>
      <w:tblGrid>
        <w:gridCol w:w="6292"/>
      </w:tblGrid>
      <w:tr w:rsidR="00B14E89" w:rsidTr="00A70F5B">
        <w:trPr>
          <w:cnfStyle w:val="100000000000"/>
        </w:trPr>
        <w:tc>
          <w:tcPr>
            <w:cnfStyle w:val="001000000000"/>
            <w:tcW w:w="6292" w:type="dxa"/>
          </w:tcPr>
          <w:p w:rsidR="00B14E89" w:rsidRDefault="00D94882" w:rsidP="00A70F5B">
            <w:r>
              <w:t xml:space="preserve">Box C: </w:t>
            </w:r>
            <w:r w:rsidR="00B14E89">
              <w:t>RECOVERY</w:t>
            </w:r>
          </w:p>
        </w:tc>
      </w:tr>
      <w:tr w:rsidR="00B14E89" w:rsidTr="00A70F5B">
        <w:trPr>
          <w:cnfStyle w:val="000000100000"/>
        </w:trPr>
        <w:tc>
          <w:tcPr>
            <w:cnfStyle w:val="001000000000"/>
            <w:tcW w:w="6292" w:type="dxa"/>
          </w:tcPr>
          <w:p w:rsidR="00B14E89" w:rsidRPr="00B14E89" w:rsidRDefault="00B14E89" w:rsidP="00A70F5B">
            <w:pPr>
              <w:pStyle w:val="ListParagraph"/>
              <w:numPr>
                <w:ilvl w:val="0"/>
                <w:numId w:val="15"/>
              </w:numPr>
              <w:rPr>
                <w:b w:val="0"/>
              </w:rPr>
            </w:pPr>
            <w:r w:rsidRPr="00B14E89">
              <w:rPr>
                <w:b w:val="0"/>
              </w:rPr>
              <w:t>Recovery area must be appropriately supplied with cylinder oxygen if also affected</w:t>
            </w:r>
            <w:r w:rsidR="00AB429E">
              <w:rPr>
                <w:b w:val="0"/>
              </w:rPr>
              <w:t>.</w:t>
            </w:r>
          </w:p>
          <w:p w:rsidR="00B14E89" w:rsidRPr="000050B0" w:rsidRDefault="002302D0" w:rsidP="00A70F5B">
            <w:pPr>
              <w:pStyle w:val="ListParagraph"/>
              <w:numPr>
                <w:ilvl w:val="0"/>
                <w:numId w:val="15"/>
              </w:numPr>
            </w:pPr>
            <w:r>
              <w:rPr>
                <w:b w:val="0"/>
              </w:rPr>
              <w:t>Identify patients who do not require supplemental oxygen</w:t>
            </w:r>
            <w:r w:rsidR="00AB429E">
              <w:rPr>
                <w:b w:val="0"/>
              </w:rPr>
              <w:t>.</w:t>
            </w:r>
          </w:p>
        </w:tc>
      </w:tr>
    </w:tbl>
    <w:p w:rsidR="00042F42" w:rsidRPr="00042F42" w:rsidRDefault="00042F42" w:rsidP="00042F42"/>
    <w:tbl>
      <w:tblPr>
        <w:tblStyle w:val="LightList"/>
        <w:tblpPr w:leftFromText="180" w:rightFromText="180" w:vertAnchor="text" w:horzAnchor="margin" w:tblpXSpec="right" w:tblpY="384"/>
        <w:tblW w:w="0" w:type="auto"/>
        <w:tblLook w:val="04A0"/>
      </w:tblPr>
      <w:tblGrid>
        <w:gridCol w:w="6292"/>
      </w:tblGrid>
      <w:tr w:rsidR="00A70F5B" w:rsidTr="00A70F5B">
        <w:trPr>
          <w:cnfStyle w:val="100000000000"/>
        </w:trPr>
        <w:tc>
          <w:tcPr>
            <w:cnfStyle w:val="001000000000"/>
            <w:tcW w:w="6292" w:type="dxa"/>
          </w:tcPr>
          <w:p w:rsidR="00A70F5B" w:rsidRDefault="00A70F5B" w:rsidP="00A70F5B">
            <w:r>
              <w:t>Box D: RE-ESTABLISHMENT OF SERVICES</w:t>
            </w:r>
          </w:p>
        </w:tc>
      </w:tr>
      <w:tr w:rsidR="00A70F5B" w:rsidTr="00A70F5B">
        <w:trPr>
          <w:cnfStyle w:val="000000100000"/>
        </w:trPr>
        <w:tc>
          <w:tcPr>
            <w:cnfStyle w:val="001000000000"/>
            <w:tcW w:w="6292" w:type="dxa"/>
          </w:tcPr>
          <w:p w:rsidR="00A70F5B" w:rsidRPr="00B14E89" w:rsidRDefault="00A70F5B" w:rsidP="00A70F5B">
            <w:pPr>
              <w:pStyle w:val="ListParagraph"/>
              <w:numPr>
                <w:ilvl w:val="0"/>
                <w:numId w:val="17"/>
              </w:numPr>
              <w:rPr>
                <w:b w:val="0"/>
              </w:rPr>
            </w:pPr>
            <w:r w:rsidRPr="00B14E89">
              <w:rPr>
                <w:b w:val="0"/>
              </w:rPr>
              <w:t>Disconnect equipment from failed wall/pendant outlets</w:t>
            </w:r>
            <w:r>
              <w:rPr>
                <w:b w:val="0"/>
              </w:rPr>
              <w:t>.</w:t>
            </w:r>
          </w:p>
          <w:p w:rsidR="00A70F5B" w:rsidRPr="00B14E89" w:rsidRDefault="00A70F5B" w:rsidP="00A70F5B">
            <w:pPr>
              <w:pStyle w:val="ListParagraph"/>
              <w:numPr>
                <w:ilvl w:val="0"/>
                <w:numId w:val="17"/>
              </w:numPr>
              <w:rPr>
                <w:b w:val="0"/>
              </w:rPr>
            </w:pPr>
            <w:r w:rsidRPr="00B14E89">
              <w:rPr>
                <w:b w:val="0"/>
              </w:rPr>
              <w:t>When re-established, output may not initially be 100% oxygen</w:t>
            </w:r>
            <w:r>
              <w:rPr>
                <w:b w:val="0"/>
              </w:rPr>
              <w:t>.</w:t>
            </w:r>
          </w:p>
          <w:p w:rsidR="00A70F5B" w:rsidRPr="00F334B0" w:rsidRDefault="00A70F5B" w:rsidP="00A70F5B">
            <w:pPr>
              <w:pStyle w:val="ListParagraph"/>
              <w:numPr>
                <w:ilvl w:val="0"/>
                <w:numId w:val="17"/>
              </w:numPr>
              <w:rPr>
                <w:b w:val="0"/>
              </w:rPr>
            </w:pPr>
            <w:r w:rsidRPr="00B14E89">
              <w:rPr>
                <w:b w:val="0"/>
              </w:rPr>
              <w:t>Do not re-use outlet until gas composition and quality satisfactorily confirmed by a competent authority</w:t>
            </w:r>
            <w:r>
              <w:rPr>
                <w:b w:val="0"/>
              </w:rPr>
              <w:t>.</w:t>
            </w:r>
          </w:p>
        </w:tc>
      </w:tr>
    </w:tbl>
    <w:p w:rsidR="00042F42" w:rsidRPr="00042F42" w:rsidRDefault="00042F42" w:rsidP="00042F42"/>
    <w:p w:rsidR="00042F42" w:rsidRPr="00042F42" w:rsidRDefault="00042F42" w:rsidP="00042F42"/>
    <w:p w:rsidR="00042F42" w:rsidRDefault="00421C0E" w:rsidP="00042F42">
      <w:r>
        <w:rPr>
          <w:noProof/>
          <w:lang w:eastAsia="en-GB"/>
        </w:rPr>
        <w:pict>
          <v:shape id="_x0000_s1027" type="#_x0000_t202" style="position:absolute;margin-left:717.3pt;margin-top:83.65pt;width:57.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" stroked="f">
            <v:textbox>
              <w:txbxContent>
                <w:p w:rsidR="00145E20" w:rsidRPr="00003411" w:rsidRDefault="00EA7F0C" w:rsidP="00003411">
                  <w:pPr>
                    <w:jc w:val="center"/>
                    <w:rPr>
                      <w:color w:val="808080" w:themeColor="background1" w:themeShade="80"/>
                      <w:sz w:val="48"/>
                    </w:rPr>
                  </w:pPr>
                  <w:r>
                    <w:rPr>
                      <w:color w:val="808080" w:themeColor="background1" w:themeShade="80"/>
                      <w:sz w:val="48"/>
                    </w:rPr>
                    <w:t>4-1</w:t>
                  </w:r>
                </w:p>
              </w:txbxContent>
            </v:textbox>
          </v:shape>
        </w:pict>
      </w:r>
      <w:r w:rsidRPr="00421C0E">
        <w:rPr>
          <w:rFonts w:ascii="Times New Roman" w:eastAsia="Calibri" w:hAnsi="Times New Roman" w:cs="Times New Roman"/>
          <w:noProof/>
          <w:sz w:val="24"/>
          <w:szCs w:val="24"/>
          <w:lang w:eastAsia="en-GB"/>
        </w:rPr>
        <w:pict>
          <v:shape id="Text Box 3" o:spid="_x0000_s1028" type="#_x0000_t202" style="position:absolute;margin-left:25.2pt;margin-top:83.4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" filled="f" stroked="f">
            <v:textbox>
              <w:txbxContent>
                <w:p w:rsidR="002468D4" w:rsidRDefault="00013EE2" w:rsidP="002468D4">
                  <w:pPr>
                    <w:spacing w:after="0"/>
                    <w:rPr>
                      <w:b/>
                      <w:bCs/>
                      <w:sz w:val="16"/>
                      <w:szCs w:val="16"/>
                    </w:rPr>
                  </w:pPr>
                  <w:r>
                    <w:rPr>
                      <w:b/>
                      <w:bCs/>
                      <w:sz w:val="16"/>
                      <w:szCs w:val="16"/>
                    </w:rPr>
                    <w:t>The Association Of Anaesthetists of Great Britain &amp; Ireland</w:t>
                  </w:r>
                  <w:r w:rsidR="006A6F0E">
                    <w:rPr>
                      <w:b/>
                      <w:bCs/>
                      <w:sz w:val="16"/>
                      <w:szCs w:val="16"/>
                    </w:rPr>
                    <w:t xml:space="preserve"> </w:t>
                  </w:r>
                  <w:r w:rsidR="006A6F0E">
                    <w:rPr>
                      <w:b/>
                      <w:bCs/>
                      <w:sz w:val="16"/>
                      <w:szCs w:val="16"/>
                    </w:rPr>
                    <w:t>201</w:t>
                  </w:r>
                  <w:r w:rsidR="00A908F4">
                    <w:rPr>
                      <w:b/>
                      <w:bCs/>
                      <w:sz w:val="16"/>
                      <w:szCs w:val="16"/>
                    </w:rPr>
                    <w:t>8</w:t>
                  </w:r>
                  <w:r w:rsidR="002468D4">
                    <w:rPr>
                      <w:b/>
                      <w:bCs/>
                      <w:sz w:val="16"/>
                      <w:szCs w:val="16"/>
                    </w:rPr>
                    <w:t xml:space="preserve">. </w:t>
                  </w:r>
                  <w:r w:rsidR="002468D4">
                    <w:rPr>
                      <w:b/>
                      <w:bCs/>
                      <w:color w:val="0000FF"/>
                      <w:sz w:val="16"/>
                      <w:szCs w:val="16"/>
                      <w:u w:val="single"/>
                    </w:rPr>
                    <w:t>www.aagbi.org/qrh</w:t>
                  </w:r>
                  <w:r w:rsidR="002468D4">
                    <w:rPr>
                      <w:b/>
                      <w:bCs/>
                      <w:sz w:val="16"/>
                      <w:szCs w:val="16"/>
                    </w:rPr>
                    <w:t xml:space="preserve"> </w:t>
                  </w:r>
                  <w:r w:rsidR="002468D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w:t>
                  </w:r>
                  <w:bookmarkStart w:id="0" w:name="_GoBack"/>
                  <w:r w:rsidR="002468D4">
                    <w:rPr>
                      <w:sz w:val="16"/>
                      <w:szCs w:val="16"/>
                    </w:rPr>
                    <w:t>le.</w:t>
                  </w:r>
                  <w:bookmarkEnd w:id="0"/>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C4" w:rsidRDefault="00EB3EC4" w:rsidP="00725899">
      <w:pPr>
        <w:spacing w:after="0" w:line="240" w:lineRule="auto"/>
      </w:pPr>
      <w:r>
        <w:separator/>
      </w:r>
    </w:p>
  </w:endnote>
  <w:endnote w:type="continuationSeparator" w:id="0">
    <w:p w:rsidR="00EB3EC4" w:rsidRDefault="00EB3EC4"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C4" w:rsidRDefault="00EB3EC4" w:rsidP="00725899">
      <w:pPr>
        <w:spacing w:after="0" w:line="240" w:lineRule="auto"/>
      </w:pPr>
      <w:r>
        <w:separator/>
      </w:r>
    </w:p>
  </w:footnote>
  <w:footnote w:type="continuationSeparator" w:id="0">
    <w:p w:rsidR="00EB3EC4" w:rsidRDefault="00EB3EC4"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87E"/>
    <w:multiLevelType w:val="hybridMultilevel"/>
    <w:tmpl w:val="0A20A9DE"/>
    <w:lvl w:ilvl="0" w:tplc="595ED0C8">
      <w:start w:val="1"/>
      <w:numFmt w:val="decimal"/>
      <w:lvlText w:val="%1."/>
      <w:lvlJc w:val="left"/>
      <w:pPr>
        <w:tabs>
          <w:tab w:val="num" w:pos="720"/>
        </w:tabs>
        <w:ind w:left="720" w:hanging="360"/>
      </w:pPr>
    </w:lvl>
    <w:lvl w:ilvl="1" w:tplc="2FE0ECB4">
      <w:start w:val="2879"/>
      <w:numFmt w:val="bullet"/>
      <w:lvlText w:val="•"/>
      <w:lvlJc w:val="left"/>
      <w:pPr>
        <w:tabs>
          <w:tab w:val="num" w:pos="1440"/>
        </w:tabs>
        <w:ind w:left="1440" w:hanging="360"/>
      </w:pPr>
      <w:rPr>
        <w:rFonts w:ascii="Times New Roman" w:hAnsi="Times New Roman" w:hint="default"/>
      </w:rPr>
    </w:lvl>
    <w:lvl w:ilvl="2" w:tplc="7304CBA4" w:tentative="1">
      <w:start w:val="1"/>
      <w:numFmt w:val="decimal"/>
      <w:lvlText w:val="%3."/>
      <w:lvlJc w:val="left"/>
      <w:pPr>
        <w:tabs>
          <w:tab w:val="num" w:pos="2160"/>
        </w:tabs>
        <w:ind w:left="2160" w:hanging="360"/>
      </w:pPr>
    </w:lvl>
    <w:lvl w:ilvl="3" w:tplc="01C06C1E" w:tentative="1">
      <w:start w:val="1"/>
      <w:numFmt w:val="decimal"/>
      <w:lvlText w:val="%4."/>
      <w:lvlJc w:val="left"/>
      <w:pPr>
        <w:tabs>
          <w:tab w:val="num" w:pos="2880"/>
        </w:tabs>
        <w:ind w:left="2880" w:hanging="360"/>
      </w:pPr>
    </w:lvl>
    <w:lvl w:ilvl="4" w:tplc="1B9460F0" w:tentative="1">
      <w:start w:val="1"/>
      <w:numFmt w:val="decimal"/>
      <w:lvlText w:val="%5."/>
      <w:lvlJc w:val="left"/>
      <w:pPr>
        <w:tabs>
          <w:tab w:val="num" w:pos="3600"/>
        </w:tabs>
        <w:ind w:left="3600" w:hanging="360"/>
      </w:pPr>
    </w:lvl>
    <w:lvl w:ilvl="5" w:tplc="4C54ABC4" w:tentative="1">
      <w:start w:val="1"/>
      <w:numFmt w:val="decimal"/>
      <w:lvlText w:val="%6."/>
      <w:lvlJc w:val="left"/>
      <w:pPr>
        <w:tabs>
          <w:tab w:val="num" w:pos="4320"/>
        </w:tabs>
        <w:ind w:left="4320" w:hanging="360"/>
      </w:pPr>
    </w:lvl>
    <w:lvl w:ilvl="6" w:tplc="048E1842" w:tentative="1">
      <w:start w:val="1"/>
      <w:numFmt w:val="decimal"/>
      <w:lvlText w:val="%7."/>
      <w:lvlJc w:val="left"/>
      <w:pPr>
        <w:tabs>
          <w:tab w:val="num" w:pos="5040"/>
        </w:tabs>
        <w:ind w:left="5040" w:hanging="360"/>
      </w:pPr>
    </w:lvl>
    <w:lvl w:ilvl="7" w:tplc="24427324" w:tentative="1">
      <w:start w:val="1"/>
      <w:numFmt w:val="decimal"/>
      <w:lvlText w:val="%8."/>
      <w:lvlJc w:val="left"/>
      <w:pPr>
        <w:tabs>
          <w:tab w:val="num" w:pos="5760"/>
        </w:tabs>
        <w:ind w:left="5760" w:hanging="360"/>
      </w:pPr>
    </w:lvl>
    <w:lvl w:ilvl="8" w:tplc="A78C5A1C" w:tentative="1">
      <w:start w:val="1"/>
      <w:numFmt w:val="decimal"/>
      <w:lvlText w:val="%9."/>
      <w:lvlJc w:val="left"/>
      <w:pPr>
        <w:tabs>
          <w:tab w:val="num" w:pos="6480"/>
        </w:tabs>
        <w:ind w:left="6480" w:hanging="360"/>
      </w:pPr>
    </w:lvl>
  </w:abstractNum>
  <w:abstractNum w:abstractNumId="1">
    <w:nsid w:val="115F1967"/>
    <w:multiLevelType w:val="hybridMultilevel"/>
    <w:tmpl w:val="9A0E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13249"/>
    <w:multiLevelType w:val="hybridMultilevel"/>
    <w:tmpl w:val="BE485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369F1"/>
    <w:multiLevelType w:val="hybridMultilevel"/>
    <w:tmpl w:val="1EAAE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7371C6"/>
    <w:multiLevelType w:val="hybridMultilevel"/>
    <w:tmpl w:val="1F22A374"/>
    <w:lvl w:ilvl="0" w:tplc="2F2AA870">
      <w:start w:val="1"/>
      <w:numFmt w:val="bullet"/>
      <w:lvlText w:val="•"/>
      <w:lvlJc w:val="left"/>
      <w:pPr>
        <w:tabs>
          <w:tab w:val="num" w:pos="720"/>
        </w:tabs>
        <w:ind w:left="720" w:hanging="360"/>
      </w:pPr>
      <w:rPr>
        <w:rFonts w:ascii="Times New Roman" w:hAnsi="Times New Roman" w:hint="default"/>
      </w:rPr>
    </w:lvl>
    <w:lvl w:ilvl="1" w:tplc="7B0E6C9C">
      <w:start w:val="1"/>
      <w:numFmt w:val="bullet"/>
      <w:lvlText w:val="•"/>
      <w:lvlJc w:val="left"/>
      <w:pPr>
        <w:tabs>
          <w:tab w:val="num" w:pos="1440"/>
        </w:tabs>
        <w:ind w:left="1440" w:hanging="360"/>
      </w:pPr>
      <w:rPr>
        <w:rFonts w:ascii="Times New Roman" w:hAnsi="Times New Roman" w:hint="default"/>
      </w:rPr>
    </w:lvl>
    <w:lvl w:ilvl="2" w:tplc="0BAAB7B2" w:tentative="1">
      <w:start w:val="1"/>
      <w:numFmt w:val="bullet"/>
      <w:lvlText w:val="•"/>
      <w:lvlJc w:val="left"/>
      <w:pPr>
        <w:tabs>
          <w:tab w:val="num" w:pos="2160"/>
        </w:tabs>
        <w:ind w:left="2160" w:hanging="360"/>
      </w:pPr>
      <w:rPr>
        <w:rFonts w:ascii="Times New Roman" w:hAnsi="Times New Roman" w:hint="default"/>
      </w:rPr>
    </w:lvl>
    <w:lvl w:ilvl="3" w:tplc="C4A6931C" w:tentative="1">
      <w:start w:val="1"/>
      <w:numFmt w:val="bullet"/>
      <w:lvlText w:val="•"/>
      <w:lvlJc w:val="left"/>
      <w:pPr>
        <w:tabs>
          <w:tab w:val="num" w:pos="2880"/>
        </w:tabs>
        <w:ind w:left="2880" w:hanging="360"/>
      </w:pPr>
      <w:rPr>
        <w:rFonts w:ascii="Times New Roman" w:hAnsi="Times New Roman" w:hint="default"/>
      </w:rPr>
    </w:lvl>
    <w:lvl w:ilvl="4" w:tplc="06821978" w:tentative="1">
      <w:start w:val="1"/>
      <w:numFmt w:val="bullet"/>
      <w:lvlText w:val="•"/>
      <w:lvlJc w:val="left"/>
      <w:pPr>
        <w:tabs>
          <w:tab w:val="num" w:pos="3600"/>
        </w:tabs>
        <w:ind w:left="3600" w:hanging="360"/>
      </w:pPr>
      <w:rPr>
        <w:rFonts w:ascii="Times New Roman" w:hAnsi="Times New Roman" w:hint="default"/>
      </w:rPr>
    </w:lvl>
    <w:lvl w:ilvl="5" w:tplc="7806F904" w:tentative="1">
      <w:start w:val="1"/>
      <w:numFmt w:val="bullet"/>
      <w:lvlText w:val="•"/>
      <w:lvlJc w:val="left"/>
      <w:pPr>
        <w:tabs>
          <w:tab w:val="num" w:pos="4320"/>
        </w:tabs>
        <w:ind w:left="4320" w:hanging="360"/>
      </w:pPr>
      <w:rPr>
        <w:rFonts w:ascii="Times New Roman" w:hAnsi="Times New Roman" w:hint="default"/>
      </w:rPr>
    </w:lvl>
    <w:lvl w:ilvl="6" w:tplc="98B6E842" w:tentative="1">
      <w:start w:val="1"/>
      <w:numFmt w:val="bullet"/>
      <w:lvlText w:val="•"/>
      <w:lvlJc w:val="left"/>
      <w:pPr>
        <w:tabs>
          <w:tab w:val="num" w:pos="5040"/>
        </w:tabs>
        <w:ind w:left="5040" w:hanging="360"/>
      </w:pPr>
      <w:rPr>
        <w:rFonts w:ascii="Times New Roman" w:hAnsi="Times New Roman" w:hint="default"/>
      </w:rPr>
    </w:lvl>
    <w:lvl w:ilvl="7" w:tplc="C3925302" w:tentative="1">
      <w:start w:val="1"/>
      <w:numFmt w:val="bullet"/>
      <w:lvlText w:val="•"/>
      <w:lvlJc w:val="left"/>
      <w:pPr>
        <w:tabs>
          <w:tab w:val="num" w:pos="5760"/>
        </w:tabs>
        <w:ind w:left="5760" w:hanging="360"/>
      </w:pPr>
      <w:rPr>
        <w:rFonts w:ascii="Times New Roman" w:hAnsi="Times New Roman" w:hint="default"/>
      </w:rPr>
    </w:lvl>
    <w:lvl w:ilvl="8" w:tplc="F852E6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18A1B91"/>
    <w:multiLevelType w:val="hybridMultilevel"/>
    <w:tmpl w:val="6B4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69B4F3E"/>
    <w:multiLevelType w:val="hybridMultilevel"/>
    <w:tmpl w:val="69B82DC6"/>
    <w:lvl w:ilvl="0" w:tplc="7DC2231E">
      <w:start w:val="1"/>
      <w:numFmt w:val="bullet"/>
      <w:lvlText w:val="•"/>
      <w:lvlJc w:val="left"/>
      <w:pPr>
        <w:tabs>
          <w:tab w:val="num" w:pos="720"/>
        </w:tabs>
        <w:ind w:left="720" w:hanging="360"/>
      </w:pPr>
      <w:rPr>
        <w:rFonts w:ascii="Times New Roman" w:hAnsi="Times New Roman" w:hint="default"/>
      </w:rPr>
    </w:lvl>
    <w:lvl w:ilvl="1" w:tplc="A24A73D2">
      <w:start w:val="1"/>
      <w:numFmt w:val="bullet"/>
      <w:lvlText w:val="•"/>
      <w:lvlJc w:val="left"/>
      <w:pPr>
        <w:tabs>
          <w:tab w:val="num" w:pos="1440"/>
        </w:tabs>
        <w:ind w:left="1440" w:hanging="360"/>
      </w:pPr>
      <w:rPr>
        <w:rFonts w:ascii="Times New Roman" w:hAnsi="Times New Roman" w:hint="default"/>
      </w:rPr>
    </w:lvl>
    <w:lvl w:ilvl="2" w:tplc="C750BFD4" w:tentative="1">
      <w:start w:val="1"/>
      <w:numFmt w:val="bullet"/>
      <w:lvlText w:val="•"/>
      <w:lvlJc w:val="left"/>
      <w:pPr>
        <w:tabs>
          <w:tab w:val="num" w:pos="2160"/>
        </w:tabs>
        <w:ind w:left="2160" w:hanging="360"/>
      </w:pPr>
      <w:rPr>
        <w:rFonts w:ascii="Times New Roman" w:hAnsi="Times New Roman" w:hint="default"/>
      </w:rPr>
    </w:lvl>
    <w:lvl w:ilvl="3" w:tplc="BBFEA93E" w:tentative="1">
      <w:start w:val="1"/>
      <w:numFmt w:val="bullet"/>
      <w:lvlText w:val="•"/>
      <w:lvlJc w:val="left"/>
      <w:pPr>
        <w:tabs>
          <w:tab w:val="num" w:pos="2880"/>
        </w:tabs>
        <w:ind w:left="2880" w:hanging="360"/>
      </w:pPr>
      <w:rPr>
        <w:rFonts w:ascii="Times New Roman" w:hAnsi="Times New Roman" w:hint="default"/>
      </w:rPr>
    </w:lvl>
    <w:lvl w:ilvl="4" w:tplc="37D65816" w:tentative="1">
      <w:start w:val="1"/>
      <w:numFmt w:val="bullet"/>
      <w:lvlText w:val="•"/>
      <w:lvlJc w:val="left"/>
      <w:pPr>
        <w:tabs>
          <w:tab w:val="num" w:pos="3600"/>
        </w:tabs>
        <w:ind w:left="3600" w:hanging="360"/>
      </w:pPr>
      <w:rPr>
        <w:rFonts w:ascii="Times New Roman" w:hAnsi="Times New Roman" w:hint="default"/>
      </w:rPr>
    </w:lvl>
    <w:lvl w:ilvl="5" w:tplc="BC28FEDA" w:tentative="1">
      <w:start w:val="1"/>
      <w:numFmt w:val="bullet"/>
      <w:lvlText w:val="•"/>
      <w:lvlJc w:val="left"/>
      <w:pPr>
        <w:tabs>
          <w:tab w:val="num" w:pos="4320"/>
        </w:tabs>
        <w:ind w:left="4320" w:hanging="360"/>
      </w:pPr>
      <w:rPr>
        <w:rFonts w:ascii="Times New Roman" w:hAnsi="Times New Roman" w:hint="default"/>
      </w:rPr>
    </w:lvl>
    <w:lvl w:ilvl="6" w:tplc="B7ACE5A4" w:tentative="1">
      <w:start w:val="1"/>
      <w:numFmt w:val="bullet"/>
      <w:lvlText w:val="•"/>
      <w:lvlJc w:val="left"/>
      <w:pPr>
        <w:tabs>
          <w:tab w:val="num" w:pos="5040"/>
        </w:tabs>
        <w:ind w:left="5040" w:hanging="360"/>
      </w:pPr>
      <w:rPr>
        <w:rFonts w:ascii="Times New Roman" w:hAnsi="Times New Roman" w:hint="default"/>
      </w:rPr>
    </w:lvl>
    <w:lvl w:ilvl="7" w:tplc="76DAF6CC" w:tentative="1">
      <w:start w:val="1"/>
      <w:numFmt w:val="bullet"/>
      <w:lvlText w:val="•"/>
      <w:lvlJc w:val="left"/>
      <w:pPr>
        <w:tabs>
          <w:tab w:val="num" w:pos="5760"/>
        </w:tabs>
        <w:ind w:left="5760" w:hanging="360"/>
      </w:pPr>
      <w:rPr>
        <w:rFonts w:ascii="Times New Roman" w:hAnsi="Times New Roman" w:hint="default"/>
      </w:rPr>
    </w:lvl>
    <w:lvl w:ilvl="8" w:tplc="747079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5B4FB7"/>
    <w:multiLevelType w:val="hybridMultilevel"/>
    <w:tmpl w:val="AAD66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2C4E8E"/>
    <w:multiLevelType w:val="hybridMultilevel"/>
    <w:tmpl w:val="E488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981084"/>
    <w:multiLevelType w:val="hybridMultilevel"/>
    <w:tmpl w:val="79E8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F3620D"/>
    <w:multiLevelType w:val="hybridMultilevel"/>
    <w:tmpl w:val="C6A8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3"/>
  </w:num>
  <w:num w:numId="5">
    <w:abstractNumId w:val="9"/>
  </w:num>
  <w:num w:numId="6">
    <w:abstractNumId w:val="12"/>
  </w:num>
  <w:num w:numId="7">
    <w:abstractNumId w:val="7"/>
  </w:num>
  <w:num w:numId="8">
    <w:abstractNumId w:val="0"/>
  </w:num>
  <w:num w:numId="9">
    <w:abstractNumId w:val="10"/>
  </w:num>
  <w:num w:numId="10">
    <w:abstractNumId w:val="8"/>
  </w:num>
  <w:num w:numId="11">
    <w:abstractNumId w:val="14"/>
  </w:num>
  <w:num w:numId="12">
    <w:abstractNumId w:val="5"/>
  </w:num>
  <w:num w:numId="13">
    <w:abstractNumId w:val="1"/>
  </w:num>
  <w:num w:numId="14">
    <w:abstractNumId w:val="17"/>
  </w:num>
  <w:num w:numId="15">
    <w:abstractNumId w:val="13"/>
  </w:num>
  <w:num w:numId="16">
    <w:abstractNumId w:val="6"/>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050B0"/>
    <w:rsid w:val="00006DC1"/>
    <w:rsid w:val="00013EE2"/>
    <w:rsid w:val="00042F42"/>
    <w:rsid w:val="00085E58"/>
    <w:rsid w:val="0011605F"/>
    <w:rsid w:val="00124F56"/>
    <w:rsid w:val="00136000"/>
    <w:rsid w:val="00145E20"/>
    <w:rsid w:val="001A66A9"/>
    <w:rsid w:val="001D548C"/>
    <w:rsid w:val="001D6159"/>
    <w:rsid w:val="002151AC"/>
    <w:rsid w:val="002238AA"/>
    <w:rsid w:val="002302D0"/>
    <w:rsid w:val="002468D4"/>
    <w:rsid w:val="00286163"/>
    <w:rsid w:val="00325823"/>
    <w:rsid w:val="00350200"/>
    <w:rsid w:val="00365E6E"/>
    <w:rsid w:val="0037011D"/>
    <w:rsid w:val="00370EFD"/>
    <w:rsid w:val="00421C0E"/>
    <w:rsid w:val="00434F79"/>
    <w:rsid w:val="00450E44"/>
    <w:rsid w:val="004555AC"/>
    <w:rsid w:val="00460ECD"/>
    <w:rsid w:val="004B3AF1"/>
    <w:rsid w:val="005215B4"/>
    <w:rsid w:val="00563EB2"/>
    <w:rsid w:val="005771DC"/>
    <w:rsid w:val="00582073"/>
    <w:rsid w:val="005975FC"/>
    <w:rsid w:val="00676A05"/>
    <w:rsid w:val="006A6F0E"/>
    <w:rsid w:val="006E3739"/>
    <w:rsid w:val="00725899"/>
    <w:rsid w:val="0077052B"/>
    <w:rsid w:val="007B1D53"/>
    <w:rsid w:val="007B5439"/>
    <w:rsid w:val="007C62B9"/>
    <w:rsid w:val="007D5436"/>
    <w:rsid w:val="008440AF"/>
    <w:rsid w:val="00854D0E"/>
    <w:rsid w:val="008820B5"/>
    <w:rsid w:val="00892113"/>
    <w:rsid w:val="008A123B"/>
    <w:rsid w:val="008A3820"/>
    <w:rsid w:val="0091771C"/>
    <w:rsid w:val="009266E8"/>
    <w:rsid w:val="0094292D"/>
    <w:rsid w:val="00997DA9"/>
    <w:rsid w:val="009B4D80"/>
    <w:rsid w:val="009C0A4E"/>
    <w:rsid w:val="009E2688"/>
    <w:rsid w:val="00A14329"/>
    <w:rsid w:val="00A37D54"/>
    <w:rsid w:val="00A5129C"/>
    <w:rsid w:val="00A70F5B"/>
    <w:rsid w:val="00A908F4"/>
    <w:rsid w:val="00A92C08"/>
    <w:rsid w:val="00AB429E"/>
    <w:rsid w:val="00AB5C87"/>
    <w:rsid w:val="00B00495"/>
    <w:rsid w:val="00B14E89"/>
    <w:rsid w:val="00B2471C"/>
    <w:rsid w:val="00B60E12"/>
    <w:rsid w:val="00C65373"/>
    <w:rsid w:val="00C96A86"/>
    <w:rsid w:val="00CC2DA7"/>
    <w:rsid w:val="00D77A26"/>
    <w:rsid w:val="00D94882"/>
    <w:rsid w:val="00DC75BF"/>
    <w:rsid w:val="00DF5583"/>
    <w:rsid w:val="00DF5A87"/>
    <w:rsid w:val="00E85CAD"/>
    <w:rsid w:val="00EA7F0C"/>
    <w:rsid w:val="00EB3EC4"/>
    <w:rsid w:val="00F334B0"/>
    <w:rsid w:val="00F524E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2238A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20"/>
    <w:rPr>
      <w:sz w:val="18"/>
      <w:szCs w:val="18"/>
    </w:rPr>
  </w:style>
  <w:style w:type="paragraph" w:styleId="CommentText">
    <w:name w:val="annotation text"/>
    <w:basedOn w:val="Normal"/>
    <w:link w:val="CommentTextChar"/>
    <w:uiPriority w:val="99"/>
    <w:semiHidden/>
    <w:unhideWhenUsed/>
    <w:rsid w:val="00145E20"/>
    <w:pPr>
      <w:spacing w:line="240" w:lineRule="auto"/>
    </w:pPr>
    <w:rPr>
      <w:sz w:val="24"/>
      <w:szCs w:val="24"/>
    </w:rPr>
  </w:style>
  <w:style w:type="character" w:customStyle="1" w:styleId="CommentTextChar">
    <w:name w:val="Comment Text Char"/>
    <w:basedOn w:val="DefaultParagraphFont"/>
    <w:link w:val="CommentText"/>
    <w:uiPriority w:val="99"/>
    <w:semiHidden/>
    <w:rsid w:val="00145E20"/>
    <w:rPr>
      <w:sz w:val="24"/>
      <w:szCs w:val="24"/>
    </w:rPr>
  </w:style>
  <w:style w:type="paragraph" w:styleId="CommentSubject">
    <w:name w:val="annotation subject"/>
    <w:basedOn w:val="CommentText"/>
    <w:next w:val="CommentText"/>
    <w:link w:val="CommentSubjectChar"/>
    <w:uiPriority w:val="99"/>
    <w:semiHidden/>
    <w:unhideWhenUsed/>
    <w:rsid w:val="00145E20"/>
    <w:rPr>
      <w:b/>
      <w:bCs/>
      <w:sz w:val="20"/>
      <w:szCs w:val="20"/>
    </w:rPr>
  </w:style>
  <w:style w:type="character" w:customStyle="1" w:styleId="CommentSubjectChar">
    <w:name w:val="Comment Subject Char"/>
    <w:basedOn w:val="CommentTextChar"/>
    <w:link w:val="CommentSubject"/>
    <w:uiPriority w:val="99"/>
    <w:semiHidden/>
    <w:rsid w:val="00145E20"/>
    <w:rPr>
      <w:b/>
      <w:bCs/>
      <w:sz w:val="20"/>
      <w:szCs w:val="20"/>
    </w:rPr>
  </w:style>
  <w:style w:type="character" w:styleId="Hyperlink">
    <w:name w:val="Hyperlink"/>
    <w:basedOn w:val="DefaultParagraphFont"/>
    <w:uiPriority w:val="99"/>
    <w:unhideWhenUsed/>
    <w:rsid w:val="00230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2238A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20"/>
    <w:rPr>
      <w:sz w:val="18"/>
      <w:szCs w:val="18"/>
    </w:rPr>
  </w:style>
  <w:style w:type="paragraph" w:styleId="CommentText">
    <w:name w:val="annotation text"/>
    <w:basedOn w:val="Normal"/>
    <w:link w:val="CommentTextChar"/>
    <w:uiPriority w:val="99"/>
    <w:semiHidden/>
    <w:unhideWhenUsed/>
    <w:rsid w:val="00145E20"/>
    <w:pPr>
      <w:spacing w:line="240" w:lineRule="auto"/>
    </w:pPr>
    <w:rPr>
      <w:sz w:val="24"/>
      <w:szCs w:val="24"/>
    </w:rPr>
  </w:style>
  <w:style w:type="character" w:customStyle="1" w:styleId="CommentTextChar">
    <w:name w:val="Comment Text Char"/>
    <w:basedOn w:val="DefaultParagraphFont"/>
    <w:link w:val="CommentText"/>
    <w:uiPriority w:val="99"/>
    <w:semiHidden/>
    <w:rsid w:val="00145E20"/>
    <w:rPr>
      <w:sz w:val="24"/>
      <w:szCs w:val="24"/>
    </w:rPr>
  </w:style>
  <w:style w:type="paragraph" w:styleId="CommentSubject">
    <w:name w:val="annotation subject"/>
    <w:basedOn w:val="CommentText"/>
    <w:next w:val="CommentText"/>
    <w:link w:val="CommentSubjectChar"/>
    <w:uiPriority w:val="99"/>
    <w:semiHidden/>
    <w:unhideWhenUsed/>
    <w:rsid w:val="00145E20"/>
    <w:rPr>
      <w:b/>
      <w:bCs/>
      <w:sz w:val="20"/>
      <w:szCs w:val="20"/>
    </w:rPr>
  </w:style>
  <w:style w:type="character" w:customStyle="1" w:styleId="CommentSubjectChar">
    <w:name w:val="Comment Subject Char"/>
    <w:basedOn w:val="CommentTextChar"/>
    <w:link w:val="CommentSubject"/>
    <w:uiPriority w:val="99"/>
    <w:semiHidden/>
    <w:rsid w:val="00145E20"/>
    <w:rPr>
      <w:b/>
      <w:bCs/>
      <w:sz w:val="20"/>
      <w:szCs w:val="20"/>
    </w:rPr>
  </w:style>
  <w:style w:type="character" w:styleId="Hyperlink">
    <w:name w:val="Hyperlink"/>
    <w:basedOn w:val="DefaultParagraphFont"/>
    <w:uiPriority w:val="99"/>
    <w:unhideWhenUsed/>
    <w:rsid w:val="002302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0668018">
      <w:bodyDiv w:val="1"/>
      <w:marLeft w:val="0"/>
      <w:marRight w:val="0"/>
      <w:marTop w:val="0"/>
      <w:marBottom w:val="0"/>
      <w:divBdr>
        <w:top w:val="none" w:sz="0" w:space="0" w:color="auto"/>
        <w:left w:val="none" w:sz="0" w:space="0" w:color="auto"/>
        <w:bottom w:val="none" w:sz="0" w:space="0" w:color="auto"/>
        <w:right w:val="none" w:sz="0" w:space="0" w:color="auto"/>
      </w:divBdr>
      <w:divsChild>
        <w:div w:id="501627665">
          <w:marLeft w:val="720"/>
          <w:marRight w:val="0"/>
          <w:marTop w:val="43"/>
          <w:marBottom w:val="0"/>
          <w:divBdr>
            <w:top w:val="none" w:sz="0" w:space="0" w:color="auto"/>
            <w:left w:val="none" w:sz="0" w:space="0" w:color="auto"/>
            <w:bottom w:val="none" w:sz="0" w:space="0" w:color="auto"/>
            <w:right w:val="none" w:sz="0" w:space="0" w:color="auto"/>
          </w:divBdr>
        </w:div>
        <w:div w:id="1045980219">
          <w:marLeft w:val="720"/>
          <w:marRight w:val="0"/>
          <w:marTop w:val="43"/>
          <w:marBottom w:val="0"/>
          <w:divBdr>
            <w:top w:val="none" w:sz="0" w:space="0" w:color="auto"/>
            <w:left w:val="none" w:sz="0" w:space="0" w:color="auto"/>
            <w:bottom w:val="none" w:sz="0" w:space="0" w:color="auto"/>
            <w:right w:val="none" w:sz="0" w:space="0" w:color="auto"/>
          </w:divBdr>
        </w:div>
        <w:div w:id="1355153526">
          <w:marLeft w:val="720"/>
          <w:marRight w:val="0"/>
          <w:marTop w:val="43"/>
          <w:marBottom w:val="0"/>
          <w:divBdr>
            <w:top w:val="none" w:sz="0" w:space="0" w:color="auto"/>
            <w:left w:val="none" w:sz="0" w:space="0" w:color="auto"/>
            <w:bottom w:val="none" w:sz="0" w:space="0" w:color="auto"/>
            <w:right w:val="none" w:sz="0" w:space="0" w:color="auto"/>
          </w:divBdr>
        </w:div>
        <w:div w:id="1880819053">
          <w:marLeft w:val="720"/>
          <w:marRight w:val="0"/>
          <w:marTop w:val="43"/>
          <w:marBottom w:val="0"/>
          <w:divBdr>
            <w:top w:val="none" w:sz="0" w:space="0" w:color="auto"/>
            <w:left w:val="none" w:sz="0" w:space="0" w:color="auto"/>
            <w:bottom w:val="none" w:sz="0" w:space="0" w:color="auto"/>
            <w:right w:val="none" w:sz="0" w:space="0" w:color="auto"/>
          </w:divBdr>
        </w:div>
      </w:divsChild>
    </w:div>
    <w:div w:id="1399668933">
      <w:bodyDiv w:val="1"/>
      <w:marLeft w:val="0"/>
      <w:marRight w:val="0"/>
      <w:marTop w:val="0"/>
      <w:marBottom w:val="0"/>
      <w:divBdr>
        <w:top w:val="none" w:sz="0" w:space="0" w:color="auto"/>
        <w:left w:val="none" w:sz="0" w:space="0" w:color="auto"/>
        <w:bottom w:val="none" w:sz="0" w:space="0" w:color="auto"/>
        <w:right w:val="none" w:sz="0" w:space="0" w:color="auto"/>
      </w:divBdr>
      <w:divsChild>
        <w:div w:id="783306021">
          <w:marLeft w:val="720"/>
          <w:marRight w:val="0"/>
          <w:marTop w:val="43"/>
          <w:marBottom w:val="0"/>
          <w:divBdr>
            <w:top w:val="none" w:sz="0" w:space="0" w:color="auto"/>
            <w:left w:val="none" w:sz="0" w:space="0" w:color="auto"/>
            <w:bottom w:val="none" w:sz="0" w:space="0" w:color="auto"/>
            <w:right w:val="none" w:sz="0" w:space="0" w:color="auto"/>
          </w:divBdr>
        </w:div>
        <w:div w:id="1939021738">
          <w:marLeft w:val="720"/>
          <w:marRight w:val="0"/>
          <w:marTop w:val="43"/>
          <w:marBottom w:val="0"/>
          <w:divBdr>
            <w:top w:val="none" w:sz="0" w:space="0" w:color="auto"/>
            <w:left w:val="none" w:sz="0" w:space="0" w:color="auto"/>
            <w:bottom w:val="none" w:sz="0" w:space="0" w:color="auto"/>
            <w:right w:val="none" w:sz="0" w:space="0" w:color="auto"/>
          </w:divBdr>
        </w:div>
      </w:divsChild>
    </w:div>
    <w:div w:id="1801681042">
      <w:bodyDiv w:val="1"/>
      <w:marLeft w:val="0"/>
      <w:marRight w:val="0"/>
      <w:marTop w:val="0"/>
      <w:marBottom w:val="0"/>
      <w:divBdr>
        <w:top w:val="none" w:sz="0" w:space="0" w:color="auto"/>
        <w:left w:val="none" w:sz="0" w:space="0" w:color="auto"/>
        <w:bottom w:val="none" w:sz="0" w:space="0" w:color="auto"/>
        <w:right w:val="none" w:sz="0" w:space="0" w:color="auto"/>
      </w:divBdr>
      <w:divsChild>
        <w:div w:id="199707630">
          <w:marLeft w:val="0"/>
          <w:marRight w:val="0"/>
          <w:marTop w:val="43"/>
          <w:marBottom w:val="0"/>
          <w:divBdr>
            <w:top w:val="none" w:sz="0" w:space="0" w:color="auto"/>
            <w:left w:val="none" w:sz="0" w:space="0" w:color="auto"/>
            <w:bottom w:val="none" w:sz="0" w:space="0" w:color="auto"/>
            <w:right w:val="none" w:sz="0" w:space="0" w:color="auto"/>
          </w:divBdr>
        </w:div>
        <w:div w:id="508835246">
          <w:marLeft w:val="720"/>
          <w:marRight w:val="0"/>
          <w:marTop w:val="43"/>
          <w:marBottom w:val="0"/>
          <w:divBdr>
            <w:top w:val="none" w:sz="0" w:space="0" w:color="auto"/>
            <w:left w:val="none" w:sz="0" w:space="0" w:color="auto"/>
            <w:bottom w:val="none" w:sz="0" w:space="0" w:color="auto"/>
            <w:right w:val="none" w:sz="0" w:space="0" w:color="auto"/>
          </w:divBdr>
        </w:div>
        <w:div w:id="509105620">
          <w:marLeft w:val="0"/>
          <w:marRight w:val="0"/>
          <w:marTop w:val="43"/>
          <w:marBottom w:val="0"/>
          <w:divBdr>
            <w:top w:val="none" w:sz="0" w:space="0" w:color="auto"/>
            <w:left w:val="none" w:sz="0" w:space="0" w:color="auto"/>
            <w:bottom w:val="none" w:sz="0" w:space="0" w:color="auto"/>
            <w:right w:val="none" w:sz="0" w:space="0" w:color="auto"/>
          </w:divBdr>
        </w:div>
        <w:div w:id="595862789">
          <w:marLeft w:val="0"/>
          <w:marRight w:val="0"/>
          <w:marTop w:val="43"/>
          <w:marBottom w:val="0"/>
          <w:divBdr>
            <w:top w:val="none" w:sz="0" w:space="0" w:color="auto"/>
            <w:left w:val="none" w:sz="0" w:space="0" w:color="auto"/>
            <w:bottom w:val="none" w:sz="0" w:space="0" w:color="auto"/>
            <w:right w:val="none" w:sz="0" w:space="0" w:color="auto"/>
          </w:divBdr>
        </w:div>
        <w:div w:id="637338645">
          <w:marLeft w:val="720"/>
          <w:marRight w:val="0"/>
          <w:marTop w:val="43"/>
          <w:marBottom w:val="0"/>
          <w:divBdr>
            <w:top w:val="none" w:sz="0" w:space="0" w:color="auto"/>
            <w:left w:val="none" w:sz="0" w:space="0" w:color="auto"/>
            <w:bottom w:val="none" w:sz="0" w:space="0" w:color="auto"/>
            <w:right w:val="none" w:sz="0" w:space="0" w:color="auto"/>
          </w:divBdr>
        </w:div>
        <w:div w:id="687607814">
          <w:marLeft w:val="720"/>
          <w:marRight w:val="0"/>
          <w:marTop w:val="43"/>
          <w:marBottom w:val="0"/>
          <w:divBdr>
            <w:top w:val="none" w:sz="0" w:space="0" w:color="auto"/>
            <w:left w:val="none" w:sz="0" w:space="0" w:color="auto"/>
            <w:bottom w:val="none" w:sz="0" w:space="0" w:color="auto"/>
            <w:right w:val="none" w:sz="0" w:space="0" w:color="auto"/>
          </w:divBdr>
        </w:div>
        <w:div w:id="829715326">
          <w:marLeft w:val="720"/>
          <w:marRight w:val="0"/>
          <w:marTop w:val="43"/>
          <w:marBottom w:val="0"/>
          <w:divBdr>
            <w:top w:val="none" w:sz="0" w:space="0" w:color="auto"/>
            <w:left w:val="none" w:sz="0" w:space="0" w:color="auto"/>
            <w:bottom w:val="none" w:sz="0" w:space="0" w:color="auto"/>
            <w:right w:val="none" w:sz="0" w:space="0" w:color="auto"/>
          </w:divBdr>
        </w:div>
        <w:div w:id="909968232">
          <w:marLeft w:val="720"/>
          <w:marRight w:val="0"/>
          <w:marTop w:val="43"/>
          <w:marBottom w:val="0"/>
          <w:divBdr>
            <w:top w:val="none" w:sz="0" w:space="0" w:color="auto"/>
            <w:left w:val="none" w:sz="0" w:space="0" w:color="auto"/>
            <w:bottom w:val="none" w:sz="0" w:space="0" w:color="auto"/>
            <w:right w:val="none" w:sz="0" w:space="0" w:color="auto"/>
          </w:divBdr>
        </w:div>
        <w:div w:id="1154417557">
          <w:marLeft w:val="720"/>
          <w:marRight w:val="0"/>
          <w:marTop w:val="43"/>
          <w:marBottom w:val="0"/>
          <w:divBdr>
            <w:top w:val="none" w:sz="0" w:space="0" w:color="auto"/>
            <w:left w:val="none" w:sz="0" w:space="0" w:color="auto"/>
            <w:bottom w:val="none" w:sz="0" w:space="0" w:color="auto"/>
            <w:right w:val="none" w:sz="0" w:space="0" w:color="auto"/>
          </w:divBdr>
        </w:div>
        <w:div w:id="1170946950">
          <w:marLeft w:val="720"/>
          <w:marRight w:val="0"/>
          <w:marTop w:val="43"/>
          <w:marBottom w:val="0"/>
          <w:divBdr>
            <w:top w:val="none" w:sz="0" w:space="0" w:color="auto"/>
            <w:left w:val="none" w:sz="0" w:space="0" w:color="auto"/>
            <w:bottom w:val="none" w:sz="0" w:space="0" w:color="auto"/>
            <w:right w:val="none" w:sz="0" w:space="0" w:color="auto"/>
          </w:divBdr>
        </w:div>
        <w:div w:id="1232622334">
          <w:marLeft w:val="0"/>
          <w:marRight w:val="0"/>
          <w:marTop w:val="43"/>
          <w:marBottom w:val="0"/>
          <w:divBdr>
            <w:top w:val="none" w:sz="0" w:space="0" w:color="auto"/>
            <w:left w:val="none" w:sz="0" w:space="0" w:color="auto"/>
            <w:bottom w:val="none" w:sz="0" w:space="0" w:color="auto"/>
            <w:right w:val="none" w:sz="0" w:space="0" w:color="auto"/>
          </w:divBdr>
        </w:div>
        <w:div w:id="1301614627">
          <w:marLeft w:val="0"/>
          <w:marRight w:val="0"/>
          <w:marTop w:val="43"/>
          <w:marBottom w:val="0"/>
          <w:divBdr>
            <w:top w:val="none" w:sz="0" w:space="0" w:color="auto"/>
            <w:left w:val="none" w:sz="0" w:space="0" w:color="auto"/>
            <w:bottom w:val="none" w:sz="0" w:space="0" w:color="auto"/>
            <w:right w:val="none" w:sz="0" w:space="0" w:color="auto"/>
          </w:divBdr>
        </w:div>
        <w:div w:id="1325738523">
          <w:marLeft w:val="0"/>
          <w:marRight w:val="0"/>
          <w:marTop w:val="43"/>
          <w:marBottom w:val="0"/>
          <w:divBdr>
            <w:top w:val="none" w:sz="0" w:space="0" w:color="auto"/>
            <w:left w:val="none" w:sz="0" w:space="0" w:color="auto"/>
            <w:bottom w:val="none" w:sz="0" w:space="0" w:color="auto"/>
            <w:right w:val="none" w:sz="0" w:space="0" w:color="auto"/>
          </w:divBdr>
        </w:div>
        <w:div w:id="1493444506">
          <w:marLeft w:val="720"/>
          <w:marRight w:val="0"/>
          <w:marTop w:val="43"/>
          <w:marBottom w:val="0"/>
          <w:divBdr>
            <w:top w:val="none" w:sz="0" w:space="0" w:color="auto"/>
            <w:left w:val="none" w:sz="0" w:space="0" w:color="auto"/>
            <w:bottom w:val="none" w:sz="0" w:space="0" w:color="auto"/>
            <w:right w:val="none" w:sz="0" w:space="0" w:color="auto"/>
          </w:divBdr>
        </w:div>
        <w:div w:id="1577938258">
          <w:marLeft w:val="720"/>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992E-3EAD-4876-A14A-C5165C90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Tim (RTR) South Tees NHS Trust</dc:creator>
  <cp:keywords/>
  <dc:description/>
  <cp:lastModifiedBy>gemmacampbell</cp:lastModifiedBy>
  <cp:revision>22</cp:revision>
  <dcterms:created xsi:type="dcterms:W3CDTF">2015-06-17T15:03:00Z</dcterms:created>
  <dcterms:modified xsi:type="dcterms:W3CDTF">2018-01-24T14:39:00Z</dcterms:modified>
</cp:coreProperties>
</file>