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5E" w:rsidRPr="00D0598B" w:rsidRDefault="005F5FC9" w:rsidP="00083D5E">
      <w:pPr>
        <w:spacing w:after="0"/>
        <w:rPr>
          <w:sz w:val="36"/>
          <w:szCs w:val="40"/>
        </w:rPr>
      </w:pPr>
      <w:r w:rsidRPr="00D0598B">
        <w:rPr>
          <w:b/>
          <w:sz w:val="40"/>
          <w:szCs w:val="40"/>
        </w:rPr>
        <w:t>Instructions for use</w:t>
      </w:r>
      <w:r w:rsidR="00D0598B">
        <w:rPr>
          <w:b/>
          <w:sz w:val="40"/>
          <w:szCs w:val="40"/>
        </w:rPr>
        <w:t xml:space="preserve"> </w:t>
      </w:r>
    </w:p>
    <w:p w:rsidR="00C21926" w:rsidRPr="00C21926" w:rsidRDefault="00C21926" w:rsidP="00083D5E">
      <w:pPr>
        <w:spacing w:after="0"/>
        <w:rPr>
          <w:b/>
        </w:rPr>
      </w:pPr>
      <w:r w:rsidRPr="00C21926">
        <w:rPr>
          <w:b/>
        </w:rPr>
        <w:t xml:space="preserve">The QRH is intended for use by individuals who are familiar with it and who are practised in its </w:t>
      </w:r>
      <w:bookmarkStart w:id="0" w:name="_GoBack"/>
      <w:r w:rsidRPr="00C21926">
        <w:rPr>
          <w:b/>
        </w:rPr>
        <w:t xml:space="preserve">use. See </w:t>
      </w:r>
      <w:hyperlink r:id="rId7" w:history="1">
        <w:r w:rsidR="00EA619C" w:rsidRPr="009E1CEC">
          <w:rPr>
            <w:rStyle w:val="Hyperlink"/>
            <w:sz w:val="20"/>
            <w:szCs w:val="20"/>
          </w:rPr>
          <w:t>https://anaesthetists.org/Quick-Reference-Handbook</w:t>
        </w:r>
      </w:hyperlink>
      <w:r>
        <w:rPr>
          <w:b/>
        </w:rPr>
        <w:t xml:space="preserve"> </w:t>
      </w:r>
      <w:r w:rsidRPr="00C21926">
        <w:rPr>
          <w:b/>
        </w:rPr>
        <w:t>for further details on implementation.</w:t>
      </w:r>
    </w:p>
    <w:bookmarkEnd w:id="0"/>
    <w:p w:rsidR="00C21926" w:rsidRPr="00C21926" w:rsidRDefault="00C21926" w:rsidP="00083D5E">
      <w:pPr>
        <w:spacing w:after="0"/>
        <w:rPr>
          <w:sz w:val="16"/>
        </w:rPr>
      </w:pPr>
    </w:p>
    <w:p w:rsidR="00083D5E" w:rsidRDefault="00083D5E" w:rsidP="00083D5E">
      <w:pPr>
        <w:spacing w:after="0"/>
      </w:pPr>
      <w:r>
        <w:t>Each guideline follows the same format:</w:t>
      </w:r>
    </w:p>
    <w:p w:rsidR="00083D5E" w:rsidRDefault="00A211E6" w:rsidP="00A211E6">
      <w:pPr>
        <w:spacing w:after="0"/>
        <w:jc w:val="center"/>
      </w:pPr>
      <w:r>
        <w:rPr>
          <w:noProof/>
          <w:lang w:eastAsia="en-GB"/>
        </w:rPr>
        <w:drawing>
          <wp:inline distT="0" distB="0" distL="0" distR="0">
            <wp:extent cx="3459892" cy="2436414"/>
            <wp:effectExtent l="171450" t="171450" r="198120" b="1930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ed example for webpa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5658" cy="245455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83D5E" w:rsidRDefault="00083D5E" w:rsidP="00083D5E">
      <w:pPr>
        <w:pStyle w:val="ListParagraph"/>
        <w:numPr>
          <w:ilvl w:val="0"/>
          <w:numId w:val="2"/>
        </w:numPr>
        <w:spacing w:after="0"/>
      </w:pPr>
      <w:r>
        <w:t>Guideline number, name and version number.</w:t>
      </w:r>
    </w:p>
    <w:p w:rsidR="00083D5E" w:rsidRDefault="00083D5E" w:rsidP="00083D5E">
      <w:pPr>
        <w:pStyle w:val="ListParagraph"/>
        <w:numPr>
          <w:ilvl w:val="0"/>
          <w:numId w:val="2"/>
        </w:numPr>
        <w:spacing w:after="0"/>
      </w:pPr>
      <w:r>
        <w:t>A brief description of the clinical situation for which the guideline is written.</w:t>
      </w:r>
    </w:p>
    <w:p w:rsidR="00D0598B" w:rsidRPr="00D0598B" w:rsidRDefault="00083D5E" w:rsidP="00083D5E">
      <w:pPr>
        <w:pStyle w:val="ListParagraph"/>
        <w:numPr>
          <w:ilvl w:val="0"/>
          <w:numId w:val="2"/>
        </w:numPr>
        <w:spacing w:after="0"/>
      </w:pPr>
      <w:r>
        <w:t xml:space="preserve">The body of the guideline. </w:t>
      </w:r>
    </w:p>
    <w:p w:rsidR="00C21926" w:rsidRDefault="00083D5E" w:rsidP="00C21926">
      <w:pPr>
        <w:pStyle w:val="ListParagraph"/>
        <w:numPr>
          <w:ilvl w:val="0"/>
          <w:numId w:val="2"/>
        </w:numPr>
        <w:spacing w:after="0"/>
      </w:pPr>
      <w:r>
        <w:t>Call out boxes, which may b</w:t>
      </w:r>
      <w:r w:rsidR="00C21926">
        <w:t>e referred to in the body text.</w:t>
      </w:r>
    </w:p>
    <w:p w:rsidR="00C21926" w:rsidRDefault="00083D5E" w:rsidP="00C21926">
      <w:pPr>
        <w:pStyle w:val="ListParagraph"/>
        <w:numPr>
          <w:ilvl w:val="1"/>
          <w:numId w:val="2"/>
        </w:numPr>
        <w:spacing w:after="0"/>
      </w:pPr>
      <w:r>
        <w:t>Orange = critical changes</w:t>
      </w:r>
    </w:p>
    <w:p w:rsidR="00C21926" w:rsidRDefault="00083D5E" w:rsidP="00C21926">
      <w:pPr>
        <w:pStyle w:val="ListParagraph"/>
        <w:numPr>
          <w:ilvl w:val="1"/>
          <w:numId w:val="2"/>
        </w:numPr>
        <w:spacing w:after="0"/>
      </w:pPr>
      <w:r>
        <w:t>Blue = drug doses</w:t>
      </w:r>
    </w:p>
    <w:p w:rsidR="00C21926" w:rsidRDefault="00083D5E" w:rsidP="00C21926">
      <w:pPr>
        <w:pStyle w:val="ListParagraph"/>
        <w:numPr>
          <w:ilvl w:val="1"/>
          <w:numId w:val="2"/>
        </w:numPr>
        <w:spacing w:after="0"/>
      </w:pPr>
      <w:r>
        <w:t>Green = CPR information</w:t>
      </w:r>
    </w:p>
    <w:p w:rsidR="00C21926" w:rsidRDefault="00083D5E" w:rsidP="00C21926">
      <w:pPr>
        <w:pStyle w:val="ListParagraph"/>
        <w:numPr>
          <w:ilvl w:val="1"/>
          <w:numId w:val="2"/>
        </w:numPr>
        <w:spacing w:after="0"/>
      </w:pPr>
      <w:r>
        <w:t>Black = equipment instructions</w:t>
      </w:r>
    </w:p>
    <w:p w:rsidR="00083D5E" w:rsidRPr="00EB1940" w:rsidRDefault="00083D5E" w:rsidP="00C21926">
      <w:pPr>
        <w:pStyle w:val="ListParagraph"/>
        <w:numPr>
          <w:ilvl w:val="1"/>
          <w:numId w:val="2"/>
        </w:numPr>
        <w:spacing w:after="0"/>
      </w:pPr>
      <w:r w:rsidRPr="00EB1940">
        <w:t>Purple = other reference information</w:t>
      </w:r>
    </w:p>
    <w:p w:rsidR="00083D5E" w:rsidRPr="00FF3C42" w:rsidRDefault="005F5FC9" w:rsidP="00083D5E">
      <w:pPr>
        <w:pStyle w:val="ListParagraph"/>
        <w:numPr>
          <w:ilvl w:val="0"/>
          <w:numId w:val="2"/>
        </w:numPr>
        <w:spacing w:after="0"/>
        <w:rPr>
          <w:b/>
        </w:rPr>
      </w:pPr>
      <w:r>
        <w:t>A</w:t>
      </w:r>
      <w:r w:rsidR="00083D5E">
        <w:t xml:space="preserve"> guideline may suggest changing to one of the other guidelines</w:t>
      </w:r>
      <w:r w:rsidR="00FF3C42">
        <w:t xml:space="preserve">, like this: </w:t>
      </w:r>
      <w:r w:rsidR="00FF3C42" w:rsidRPr="00FF3C42">
        <w:rPr>
          <w:rFonts w:cstheme="minorHAnsi"/>
          <w:b/>
        </w:rPr>
        <w:t>→ 2-1</w:t>
      </w:r>
    </w:p>
    <w:p w:rsidR="00083D5E" w:rsidRDefault="00083D5E" w:rsidP="00083D5E">
      <w:pPr>
        <w:pStyle w:val="ListParagraph"/>
        <w:numPr>
          <w:ilvl w:val="0"/>
          <w:numId w:val="2"/>
        </w:numPr>
        <w:spacing w:after="0"/>
      </w:pPr>
      <w:r>
        <w:t xml:space="preserve">The guideline number is repeated for easy finding without need for </w:t>
      </w:r>
      <w:r w:rsidR="00EB34DF">
        <w:t>a tabbed folder</w:t>
      </w:r>
      <w:r w:rsidR="005910FF">
        <w:t>.</w:t>
      </w:r>
    </w:p>
    <w:p w:rsidR="00083D5E" w:rsidRPr="00C21926" w:rsidRDefault="00083D5E" w:rsidP="00083D5E">
      <w:pPr>
        <w:spacing w:after="0"/>
        <w:rPr>
          <w:sz w:val="16"/>
        </w:rPr>
      </w:pPr>
    </w:p>
    <w:p w:rsidR="005F5FC9" w:rsidRPr="00D83C03" w:rsidRDefault="005F5FC9" w:rsidP="005F5FC9">
      <w:pPr>
        <w:spacing w:after="0"/>
        <w:rPr>
          <w:b/>
        </w:rPr>
      </w:pPr>
      <w:r w:rsidRPr="00D83C03">
        <w:rPr>
          <w:b/>
        </w:rPr>
        <w:t>Each guide</w:t>
      </w:r>
      <w:r w:rsidR="00E42C10">
        <w:rPr>
          <w:b/>
        </w:rPr>
        <w:t>line should be used in the same</w:t>
      </w:r>
      <w:r w:rsidRPr="00D83C03">
        <w:rPr>
          <w:b/>
        </w:rPr>
        <w:t xml:space="preserve"> simple way.</w:t>
      </w:r>
    </w:p>
    <w:p w:rsidR="005F5FC9" w:rsidRPr="00D83C03" w:rsidRDefault="005F5FC9" w:rsidP="005F5FC9">
      <w:pPr>
        <w:pStyle w:val="ListParagraph"/>
        <w:numPr>
          <w:ilvl w:val="0"/>
          <w:numId w:val="1"/>
        </w:numPr>
        <w:spacing w:after="0"/>
        <w:rPr>
          <w:rFonts w:cstheme="minorHAnsi"/>
          <w:b/>
        </w:rPr>
      </w:pPr>
      <w:r w:rsidRPr="00D83C03">
        <w:rPr>
          <w:b/>
        </w:rPr>
        <w:t xml:space="preserve">Start at </w:t>
      </w:r>
      <w:r w:rsidRPr="00D83C03">
        <w:rPr>
          <w:rFonts w:cstheme="minorHAnsi"/>
          <w:b/>
          <w:color w:val="FFFFFF" w:themeColor="background1"/>
          <w:highlight w:val="black"/>
        </w:rPr>
        <w:t>START</w:t>
      </w:r>
      <w:r w:rsidRPr="00D83C03">
        <w:rPr>
          <w:rFonts w:cstheme="minorHAnsi"/>
          <w:b/>
        </w:rPr>
        <w:t>.</w:t>
      </w:r>
    </w:p>
    <w:p w:rsidR="005F5FC9" w:rsidRPr="00D83C03" w:rsidRDefault="005F5FC9" w:rsidP="005F5FC9">
      <w:pPr>
        <w:pStyle w:val="ListParagraph"/>
        <w:numPr>
          <w:ilvl w:val="0"/>
          <w:numId w:val="1"/>
        </w:numPr>
        <w:spacing w:after="0"/>
        <w:rPr>
          <w:rFonts w:cstheme="minorHAnsi"/>
          <w:b/>
        </w:rPr>
      </w:pPr>
      <w:r w:rsidRPr="00D83C03">
        <w:rPr>
          <w:rFonts w:cstheme="minorHAnsi"/>
          <w:b/>
        </w:rPr>
        <w:t>Work through the numbered bullet points in order.</w:t>
      </w:r>
    </w:p>
    <w:p w:rsidR="005F5FC9" w:rsidRPr="00D83C03" w:rsidRDefault="005F5FC9" w:rsidP="005F5FC9">
      <w:pPr>
        <w:pStyle w:val="ListParagraph"/>
        <w:numPr>
          <w:ilvl w:val="0"/>
          <w:numId w:val="1"/>
        </w:numPr>
        <w:spacing w:after="0"/>
        <w:rPr>
          <w:rFonts w:cstheme="minorHAnsi"/>
          <w:b/>
        </w:rPr>
      </w:pPr>
      <w:r w:rsidRPr="00D83C03">
        <w:rPr>
          <w:rFonts w:cstheme="minorHAnsi"/>
          <w:b/>
        </w:rPr>
        <w:t>Where indicated, refer to the call out boxes on the right.</w:t>
      </w:r>
    </w:p>
    <w:p w:rsidR="005F5FC9" w:rsidRPr="00D83C03" w:rsidRDefault="005F5FC9" w:rsidP="005F5FC9">
      <w:pPr>
        <w:pStyle w:val="ListParagraph"/>
        <w:numPr>
          <w:ilvl w:val="0"/>
          <w:numId w:val="1"/>
        </w:numPr>
        <w:spacing w:after="0"/>
        <w:rPr>
          <w:rFonts w:cstheme="minorHAnsi"/>
          <w:b/>
        </w:rPr>
      </w:pPr>
      <w:r w:rsidRPr="00D83C03">
        <w:rPr>
          <w:rFonts w:cstheme="minorHAnsi"/>
          <w:b/>
        </w:rPr>
        <w:t>Where indicated, move to another guideline.</w:t>
      </w:r>
    </w:p>
    <w:p w:rsidR="00565621" w:rsidRPr="00A211E6" w:rsidRDefault="00565621" w:rsidP="00083D5E">
      <w:pPr>
        <w:spacing w:after="0"/>
        <w:rPr>
          <w:b/>
          <w:sz w:val="16"/>
        </w:rPr>
      </w:pPr>
    </w:p>
    <w:p w:rsidR="00083D5E" w:rsidRPr="00565621" w:rsidRDefault="00565621" w:rsidP="00083D5E">
      <w:pPr>
        <w:spacing w:after="0"/>
      </w:pPr>
      <w:r w:rsidRPr="00565621">
        <w:t>We recommend:</w:t>
      </w:r>
    </w:p>
    <w:p w:rsidR="00083D5E" w:rsidRPr="005F5FC9" w:rsidRDefault="00565621" w:rsidP="005F5FC9">
      <w:pPr>
        <w:pStyle w:val="ListParagraph"/>
        <w:numPr>
          <w:ilvl w:val="0"/>
          <w:numId w:val="1"/>
        </w:numPr>
        <w:spacing w:after="0"/>
        <w:rPr>
          <w:rFonts w:cstheme="minorHAnsi"/>
        </w:rPr>
      </w:pPr>
      <w:r>
        <w:rPr>
          <w:rFonts w:cstheme="minorHAnsi"/>
        </w:rPr>
        <w:t>O</w:t>
      </w:r>
      <w:r w:rsidR="00083D5E" w:rsidRPr="000D3E42">
        <w:rPr>
          <w:rFonts w:cstheme="minorHAnsi"/>
        </w:rPr>
        <w:t>ne person</w:t>
      </w:r>
      <w:r>
        <w:rPr>
          <w:rFonts w:cstheme="minorHAnsi"/>
        </w:rPr>
        <w:t xml:space="preserve"> should</w:t>
      </w:r>
      <w:r w:rsidR="00083D5E" w:rsidRPr="000D3E42">
        <w:rPr>
          <w:rFonts w:cstheme="minorHAnsi"/>
        </w:rPr>
        <w:t xml:space="preserve"> </w:t>
      </w:r>
      <w:r>
        <w:rPr>
          <w:rFonts w:cstheme="minorHAnsi"/>
        </w:rPr>
        <w:t>read</w:t>
      </w:r>
      <w:r w:rsidR="005F5FC9">
        <w:rPr>
          <w:rFonts w:cstheme="minorHAnsi"/>
        </w:rPr>
        <w:t xml:space="preserve"> </w:t>
      </w:r>
      <w:r>
        <w:rPr>
          <w:rFonts w:cstheme="minorHAnsi"/>
        </w:rPr>
        <w:t>the guideline aloud;</w:t>
      </w:r>
      <w:r w:rsidR="00083D5E" w:rsidRPr="000D3E42">
        <w:rPr>
          <w:rFonts w:cstheme="minorHAnsi"/>
        </w:rPr>
        <w:t xml:space="preserve"> they should NOT also be the person performing the actions. </w:t>
      </w:r>
    </w:p>
    <w:p w:rsidR="00083D5E" w:rsidRPr="000D3E42" w:rsidRDefault="005F5FC9" w:rsidP="00083D5E">
      <w:pPr>
        <w:pStyle w:val="ListParagraph"/>
        <w:numPr>
          <w:ilvl w:val="0"/>
          <w:numId w:val="1"/>
        </w:numPr>
        <w:spacing w:after="0"/>
        <w:rPr>
          <w:rFonts w:cstheme="minorHAnsi"/>
        </w:rPr>
      </w:pPr>
      <w:r>
        <w:rPr>
          <w:rFonts w:cstheme="minorHAnsi"/>
        </w:rPr>
        <w:t>T</w:t>
      </w:r>
      <w:r w:rsidR="00083D5E">
        <w:rPr>
          <w:rFonts w:cstheme="minorHAnsi"/>
        </w:rPr>
        <w:t xml:space="preserve">he reader </w:t>
      </w:r>
      <w:r>
        <w:rPr>
          <w:rFonts w:cstheme="minorHAnsi"/>
        </w:rPr>
        <w:t>should ensure that</w:t>
      </w:r>
      <w:r w:rsidR="00083D5E">
        <w:rPr>
          <w:rFonts w:cstheme="minorHAnsi"/>
        </w:rPr>
        <w:t xml:space="preserve"> the guideline is followed systematically, thoroughly and completely and that steps are not omitted.</w:t>
      </w:r>
    </w:p>
    <w:p w:rsidR="005F5FC9" w:rsidRDefault="00083D5E" w:rsidP="00565621">
      <w:pPr>
        <w:pStyle w:val="ListParagraph"/>
        <w:numPr>
          <w:ilvl w:val="0"/>
          <w:numId w:val="1"/>
        </w:numPr>
        <w:spacing w:after="0"/>
      </w:pPr>
      <w:r w:rsidRPr="00565621">
        <w:rPr>
          <w:rFonts w:cstheme="minorHAnsi"/>
        </w:rPr>
        <w:t>Whenever exp</w:t>
      </w:r>
      <w:r w:rsidR="00565621" w:rsidRPr="00565621">
        <w:rPr>
          <w:rFonts w:cstheme="minorHAnsi"/>
        </w:rPr>
        <w:t xml:space="preserve">erienced help arrives, </w:t>
      </w:r>
      <w:r w:rsidR="00A0352A" w:rsidRPr="00565621">
        <w:rPr>
          <w:rFonts w:cstheme="minorHAnsi"/>
        </w:rPr>
        <w:t>consider delegating</w:t>
      </w:r>
      <w:r w:rsidRPr="00565621">
        <w:rPr>
          <w:rFonts w:cstheme="minorHAnsi"/>
        </w:rPr>
        <w:t xml:space="preserve"> leadership</w:t>
      </w:r>
      <w:r w:rsidR="00EB1940">
        <w:rPr>
          <w:rFonts w:cstheme="minorHAnsi"/>
        </w:rPr>
        <w:t xml:space="preserve"> to</w:t>
      </w:r>
      <w:r w:rsidRPr="00565621">
        <w:rPr>
          <w:rFonts w:cstheme="minorHAnsi"/>
        </w:rPr>
        <w:t xml:space="preserve"> them: they</w:t>
      </w:r>
      <w:r w:rsidR="00EB1940">
        <w:rPr>
          <w:rFonts w:cstheme="minorHAnsi"/>
        </w:rPr>
        <w:t xml:space="preserve"> have a fresh pair of eyes and </w:t>
      </w:r>
      <w:r w:rsidRPr="00565621">
        <w:rPr>
          <w:rFonts w:cstheme="minorHAnsi"/>
        </w:rPr>
        <w:t>may be able to make a more clear-headed assessment.</w:t>
      </w:r>
    </w:p>
    <w:sectPr w:rsidR="005F5FC9" w:rsidSect="003A4E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41" w:rsidRDefault="00037F41" w:rsidP="00066883">
      <w:pPr>
        <w:spacing w:after="0" w:line="240" w:lineRule="auto"/>
      </w:pPr>
      <w:r>
        <w:separator/>
      </w:r>
    </w:p>
  </w:endnote>
  <w:endnote w:type="continuationSeparator" w:id="0">
    <w:p w:rsidR="00037F41" w:rsidRDefault="00037F41" w:rsidP="0006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0" w:rsidRDefault="00667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83" w:rsidRDefault="00D97D80">
    <w:pPr>
      <w:pStyle w:val="Footer"/>
    </w:pPr>
    <w:r w:rsidRPr="00D97D80">
      <w:rPr>
        <w:rFonts w:ascii="Times New Roman" w:eastAsia="Calibri" w:hAnsi="Times New Roman" w:cs="Times New Roman"/>
        <w:noProof/>
        <w:sz w:val="24"/>
        <w:szCs w:val="24"/>
        <w:lang w:eastAsia="en-GB"/>
      </w:rPr>
      <w:pict>
        <v:shapetype id="_x0000_t202" coordsize="21600,21600" o:spt="202" path="m,l,21600r21600,l21600,xe">
          <v:stroke joinstyle="miter"/>
          <v:path gradientshapeok="t" o:connecttype="rect"/>
        </v:shapetype>
        <v:shape id="Text Box 2" o:spid="_x0000_s2049" type="#_x0000_t202" style="position:absolute;margin-left:-47.5pt;margin-top:-22.4pt;width:5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" filled="f" stroked="f">
          <v:textbox>
            <w:txbxContent>
              <w:p w:rsidR="00FF3C42" w:rsidRDefault="00FF3C42" w:rsidP="00FF3C42">
                <w:pPr>
                  <w:spacing w:after="0"/>
                  <w:jc w:val="center"/>
                  <w:rPr>
                    <w:b/>
                    <w:bCs/>
                    <w:sz w:val="16"/>
                    <w:szCs w:val="16"/>
                  </w:rPr>
                </w:pPr>
                <w:r>
                  <w:rPr>
                    <w:b/>
                    <w:bCs/>
                    <w:sz w:val="16"/>
                    <w:szCs w:val="16"/>
                  </w:rPr>
                  <w:t>Association of Anaesthetists</w:t>
                </w:r>
                <w:r w:rsidR="006B5C8F">
                  <w:rPr>
                    <w:b/>
                    <w:bCs/>
                    <w:sz w:val="16"/>
                    <w:szCs w:val="16"/>
                  </w:rPr>
                  <w:t xml:space="preserve"> </w:t>
                </w:r>
                <w:r w:rsidR="00760443">
                  <w:rPr>
                    <w:b/>
                    <w:bCs/>
                    <w:sz w:val="16"/>
                    <w:szCs w:val="16"/>
                  </w:rPr>
                  <w:t>2021</w:t>
                </w:r>
                <w:r>
                  <w:rPr>
                    <w:b/>
                    <w:bCs/>
                    <w:sz w:val="16"/>
                    <w:szCs w:val="16"/>
                  </w:rPr>
                  <w:t xml:space="preserve">. </w:t>
                </w:r>
                <w:hyperlink r:id="rId1" w:history="1">
                  <w:r w:rsidR="006671E0" w:rsidRPr="005F5770">
                    <w:rPr>
                      <w:sz w:val="16"/>
                      <w:szCs w:val="16"/>
                    </w:rPr>
                    <w:t>https://anaesthetists.org/Quick-Reference-Handbook</w:t>
                  </w:r>
                </w:hyperlink>
                <w:r w:rsidR="00A83909" w:rsidRPr="00A83909">
                  <w:rPr>
                    <w:sz w:val="16"/>
                    <w:szCs w:val="16"/>
                  </w:rPr>
                  <w:t xml:space="preserve"> </w:t>
                </w:r>
                <w:r w:rsidRPr="00A83909">
                  <w:rPr>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0" w:rsidRDefault="00667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41" w:rsidRDefault="00037F41" w:rsidP="00066883">
      <w:pPr>
        <w:spacing w:after="0" w:line="240" w:lineRule="auto"/>
      </w:pPr>
      <w:r>
        <w:separator/>
      </w:r>
    </w:p>
  </w:footnote>
  <w:footnote w:type="continuationSeparator" w:id="0">
    <w:p w:rsidR="00037F41" w:rsidRDefault="00037F41" w:rsidP="00066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0" w:rsidRDefault="00667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0" w:rsidRDefault="006671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0" w:rsidRDefault="00667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773F"/>
    <w:multiLevelType w:val="hybridMultilevel"/>
    <w:tmpl w:val="E56033C0"/>
    <w:lvl w:ilvl="0" w:tplc="C7C0BEB8">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616169"/>
    <w:multiLevelType w:val="hybridMultilevel"/>
    <w:tmpl w:val="502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83D5E"/>
    <w:rsid w:val="000169CC"/>
    <w:rsid w:val="00037F41"/>
    <w:rsid w:val="00066883"/>
    <w:rsid w:val="00083D5E"/>
    <w:rsid w:val="000D6354"/>
    <w:rsid w:val="00153DB6"/>
    <w:rsid w:val="001A62D9"/>
    <w:rsid w:val="003A4E7D"/>
    <w:rsid w:val="00463828"/>
    <w:rsid w:val="00565621"/>
    <w:rsid w:val="005910FF"/>
    <w:rsid w:val="005F5FC9"/>
    <w:rsid w:val="006671E0"/>
    <w:rsid w:val="006B197B"/>
    <w:rsid w:val="006B5C8F"/>
    <w:rsid w:val="007227E6"/>
    <w:rsid w:val="00760443"/>
    <w:rsid w:val="007D56D6"/>
    <w:rsid w:val="00953614"/>
    <w:rsid w:val="00A0352A"/>
    <w:rsid w:val="00A211E6"/>
    <w:rsid w:val="00A83909"/>
    <w:rsid w:val="00C21926"/>
    <w:rsid w:val="00D0598B"/>
    <w:rsid w:val="00D54E9F"/>
    <w:rsid w:val="00D72823"/>
    <w:rsid w:val="00D83C03"/>
    <w:rsid w:val="00D97D80"/>
    <w:rsid w:val="00DD6ECE"/>
    <w:rsid w:val="00E42C10"/>
    <w:rsid w:val="00EA619C"/>
    <w:rsid w:val="00EB1940"/>
    <w:rsid w:val="00EB34DF"/>
    <w:rsid w:val="00FF3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5E"/>
    <w:pPr>
      <w:ind w:left="720"/>
      <w:contextualSpacing/>
    </w:pPr>
  </w:style>
  <w:style w:type="paragraph" w:styleId="BalloonText">
    <w:name w:val="Balloon Text"/>
    <w:basedOn w:val="Normal"/>
    <w:link w:val="BalloonTextChar"/>
    <w:uiPriority w:val="99"/>
    <w:semiHidden/>
    <w:unhideWhenUsed/>
    <w:rsid w:val="0008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5E"/>
    <w:rPr>
      <w:rFonts w:ascii="Tahoma" w:hAnsi="Tahoma" w:cs="Tahoma"/>
      <w:sz w:val="16"/>
      <w:szCs w:val="16"/>
    </w:rPr>
  </w:style>
  <w:style w:type="paragraph" w:styleId="Header">
    <w:name w:val="header"/>
    <w:basedOn w:val="Normal"/>
    <w:link w:val="HeaderChar"/>
    <w:uiPriority w:val="99"/>
    <w:unhideWhenUsed/>
    <w:rsid w:val="0006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83"/>
  </w:style>
  <w:style w:type="paragraph" w:styleId="Footer">
    <w:name w:val="footer"/>
    <w:basedOn w:val="Normal"/>
    <w:link w:val="FooterChar"/>
    <w:uiPriority w:val="99"/>
    <w:unhideWhenUsed/>
    <w:rsid w:val="0006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83"/>
  </w:style>
  <w:style w:type="character" w:styleId="Hyperlink">
    <w:name w:val="Hyperlink"/>
    <w:basedOn w:val="DefaultParagraphFont"/>
    <w:uiPriority w:val="99"/>
    <w:unhideWhenUsed/>
    <w:rsid w:val="000668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5E"/>
    <w:pPr>
      <w:ind w:left="720"/>
      <w:contextualSpacing/>
    </w:pPr>
  </w:style>
  <w:style w:type="paragraph" w:styleId="BalloonText">
    <w:name w:val="Balloon Text"/>
    <w:basedOn w:val="Normal"/>
    <w:link w:val="BalloonTextChar"/>
    <w:uiPriority w:val="99"/>
    <w:semiHidden/>
    <w:unhideWhenUsed/>
    <w:rsid w:val="0008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5E"/>
    <w:rPr>
      <w:rFonts w:ascii="Tahoma" w:hAnsi="Tahoma" w:cs="Tahoma"/>
      <w:sz w:val="16"/>
      <w:szCs w:val="16"/>
    </w:rPr>
  </w:style>
  <w:style w:type="paragraph" w:styleId="Header">
    <w:name w:val="header"/>
    <w:basedOn w:val="Normal"/>
    <w:link w:val="HeaderChar"/>
    <w:uiPriority w:val="99"/>
    <w:unhideWhenUsed/>
    <w:rsid w:val="0006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83"/>
  </w:style>
  <w:style w:type="paragraph" w:styleId="Footer">
    <w:name w:val="footer"/>
    <w:basedOn w:val="Normal"/>
    <w:link w:val="FooterChar"/>
    <w:uiPriority w:val="99"/>
    <w:unhideWhenUsed/>
    <w:rsid w:val="0006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83"/>
  </w:style>
  <w:style w:type="character" w:styleId="Hyperlink">
    <w:name w:val="Hyperlink"/>
    <w:basedOn w:val="DefaultParagraphFont"/>
    <w:uiPriority w:val="99"/>
    <w:unhideWhenUsed/>
    <w:rsid w:val="000668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naesthetists.org/Quick-Reference-Handbook"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anaesthetists.org/Quick-Referenc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gemmacampbell</cp:lastModifiedBy>
  <cp:revision>6</cp:revision>
  <dcterms:created xsi:type="dcterms:W3CDTF">2021-01-04T17:02:00Z</dcterms:created>
  <dcterms:modified xsi:type="dcterms:W3CDTF">2021-01-04T17:05:00Z</dcterms:modified>
</cp:coreProperties>
</file>